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fcda78ddc54cd833a7db4fec955951176b6e6a"/>
    <w:p>
      <w:pPr>
        <w:pStyle w:val="1"/>
      </w:pPr>
      <w:r>
        <w:t xml:space="preserve">04-27 Reunión de Planificación: Schedule, Asignación de Capacidad, HR Balance y Ejecución (OTs P3/P4, turnos 12x12 y 3x8, materiales y SAP)</w:t>
      </w:r>
    </w:p>
    <w:p>
      <w:r>
        <w:pict>
          <v:rect style="width:0;height:1.5pt" o:hralign="center" o:hrstd="t" o:hr="t"/>
        </w:pict>
      </w:r>
    </w:p>
    <w:bookmarkStart w:id="20" w:name="Xa48f77111eb308cd6bf7891875f312245e304d7"/>
    <w:p>
      <w:pPr>
        <w:pStyle w:val="21"/>
      </w:pPr>
      <w:r>
        <w:t xml:space="preserve">1. Programación (Schedule) y flujo de estatus</w:t>
      </w:r>
    </w:p>
    <w:p>
      <w:pPr>
        <w:pStyle w:val="FirstParagraph"/>
      </w:pPr>
      <w:r>
        <w:t xml:space="preserve">El módulo de programación es la puerta de entrada para OTs con estatus “planificado”. El tablero debe listar inicialmente solo OTs “planificado” (prioridades 3 y 4; 1 y 2 siguen un flujo alterno de fallas) y permitir el cambio de estatus masivo o individual a “en programación”, con trazabilidad (quién, cuándo, qué cambió). Se requiere documentar claramente este flujo y la regla de visibilidad del tablero, incluyendo el enrutamiento alterno para P1/P2. La configuración de turnos (12x12 día/noche; mina subterránea 3x8) se mantiene vigente.</w:t>
      </w:r>
    </w:p>
    <w:p>
      <w:pPr>
        <w:pStyle w:val="a2"/>
      </w:pPr>
      <w:r>
        <w:t xml:space="preserve">Elementos de acción</w:t>
      </w:r>
    </w:p>
    <w:p>
      <w:pPr>
        <w:pStyle w:val="Compact"/>
        <w:numPr>
          <w:ilvl w:val="0"/>
          <w:numId w:val="1001"/>
        </w:numPr>
      </w:pPr>
      <w:r>
        <w:t xml:space="preserve">Implementar filtro de OTs “planificado” en el panel izquierdo, respetando prioridades 3 y 4 — David</w:t>
      </w:r>
    </w:p>
    <w:p>
      <w:pPr>
        <w:pStyle w:val="Compact"/>
        <w:numPr>
          <w:ilvl w:val="0"/>
          <w:numId w:val="1002"/>
        </w:numPr>
      </w:pPr>
      <w:r>
        <w:t xml:space="preserve">Habilitar cambio de estatus a “en programación” (selección múltiple e individual) con logging — David</w:t>
      </w:r>
    </w:p>
    <w:p>
      <w:pPr>
        <w:pStyle w:val="Compact"/>
        <w:numPr>
          <w:ilvl w:val="0"/>
          <w:numId w:val="1003"/>
        </w:numPr>
      </w:pPr>
      <w:r>
        <w:t xml:space="preserve">Documentar flujo de estados, reglas de visibilidad y enrutamiento de prioridades — Magda</w:t>
      </w:r>
    </w:p>
    <w:p>
      <w:pPr>
        <w:pStyle w:val="Compact"/>
        <w:numPr>
          <w:ilvl w:val="0"/>
          <w:numId w:val="1004"/>
        </w:numPr>
      </w:pPr>
      <w:r>
        <w:t xml:space="preserve">Verificar calendarios de turno y registrar evidencia técnica — Jorge Alquinta</w:t>
      </w:r>
    </w:p>
    <w:bookmarkEnd w:id="20"/>
    <w:bookmarkStart w:id="24" w:name="Xb55addee86d9153c1c287a4f71aaaa051401bc8"/>
    <w:p>
      <w:pPr>
        <w:pStyle w:val="21"/>
      </w:pPr>
      <w:r>
        <w:t xml:space="preserve">2. Operaciones por especialidad y HH/duración</w:t>
      </w:r>
    </w:p>
    <w:p>
      <w:pPr>
        <w:pStyle w:val="FirstParagraph"/>
      </w:pPr>
      <w:r>
        <w:t xml:space="preserve">Las OTs contienen operaciones de distintas especialidades (mecánico, eléctrico, instrumentista, soldador).</w:t>
      </w:r>
      <w:r>
        <w:t xml:space="preserve"> </w:t>
      </w:r>
      <w:r>
        <w:rPr>
          <w:shd w:val="clear" w:color="auto" w:fill="F9EDD4"/>
        </w:rPr>
        <w:r>
          <w:t xml:space="preserve">Al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asignar,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sistema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debe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permitir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“aperturar”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la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OT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un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desplegable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operaciones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agrupadas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por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especialidad,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mostrando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duración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HH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totales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por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operación,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para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distribuir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correctamente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la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carga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por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disciplina.</w:t>
        </w:r>
      </w:r>
      <w:r>
        <w:t xml:space="preserve"> </w:t>
      </w:r>
      <w:r>
        <w:t xml:space="preserve">Se detectaron inconsistencias en actividades tipo “T” (ej.</w:t>
      </w:r>
      <w:r>
        <w:rPr>
          <w:shd w:val="clear" w:color="auto" w:fill="F9EDD4"/>
        </w:rPr>
        <w:r>
          <w:t xml:space="preserve">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9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h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duración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16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HH)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un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bug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que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suma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HH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la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disciplina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incorrecta.</w:t>
        </w:r>
      </w:r>
      <w:r>
        <w:t xml:space="preserve"> </w:t>
      </w:r>
      <w:r>
        <w:rPr>
          <w:shd w:val="clear" w:color="auto" w:fill="F9EDD4"/>
        </w:rPr>
        <w:r>
          <w:t xml:space="preserve">El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resumen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inicial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vistas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compactas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deben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exponer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duración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desglose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HH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por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disciplina,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tablero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debe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acumular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diferenciar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HH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por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disciplina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correctamente.</w:t>
        </w:r>
      </w:r>
    </w:p>
    <w:p>
      <w:pPr>
        <w:pStyle w:val="a2"/>
      </w:pPr>
      <w:r>
        <w:t xml:space="preserve">Elementos de acción</w:t>
      </w:r>
    </w:p>
    <w:p>
      <w:pPr>
        <w:pStyle w:val="Compact"/>
        <w:numPr>
          <w:ilvl w:val="0"/>
          <w:numId w:val="1005"/>
        </w:numPr>
      </w:pPr>
      <w:r>
        <w:t xml:space="preserve">Desplegable por OT con operaciones agrupadas por especialidad, mostrando HH totales y por operación — Speaker 4 (Desarrollo)</w:t>
      </w:r>
    </w:p>
    <w:p>
      <w:pPr>
        <w:pStyle w:val="Compact"/>
        <w:numPr>
          <w:ilvl w:val="0"/>
          <w:numId w:val="1006"/>
        </w:numPr>
      </w:pPr>
      <w:r>
        <w:t xml:space="preserve">Permitir arrastrar y asignar operaciones específicas a técnicos de la especialidad correspondiente; edición posterior — Speaker 4 (Desarrollo)</w:t>
      </w:r>
    </w:p>
    <w:p>
      <w:pPr>
        <w:pStyle w:val="Compact"/>
        <w:numPr>
          <w:ilvl w:val="0"/>
          <w:numId w:val="1007"/>
        </w:numPr>
      </w:pPr>
      <w:r>
        <w:t xml:space="preserve">Definir y documentar modelo de datos operación–especialidad–cantidad/duración — Speaker 4 (Desarrollo), Jorge Alquinta</w:t>
      </w:r>
    </w:p>
    <w:p>
      <w:pPr>
        <w:pStyle w:val="Compact"/>
        <w:numPr>
          <w:ilvl w:val="0"/>
          <w:numId w:val="1008"/>
        </w:numPr>
      </w:pPr>
      <w:r>
        <w:t xml:space="preserve">Incluir duración y desglose de HH por disciplina en resúmenes y tablero — Magda, Jorge Alquinta</w:t>
      </w:r>
    </w:p>
    <w:p>
      <w:pPr>
        <w:pStyle w:val="Compact"/>
        <w:numPr>
          <w:ilvl w:val="0"/>
          <w:numId w:val="1009"/>
        </w:numPr>
      </w:pPr>
      <w:r>
        <w:t xml:space="preserve">Corregir cálculos de HH y el bug de lectura por disciplina (HHT mecánico vs. HHT eléctrico) — Equipo de Desarrollo, Magda, Jorge Alquinta</w:t>
      </w:r>
    </w:p>
    <w:p>
      <w:pPr>
        <w:pStyle w:val="FirstParagraph"/>
      </w:pPr>
      <w:r>
        <w:drawing>
          <wp:inline>
            <wp:extent cx="2108200" cy="140546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/tmp/extracted-media/91a88815fd75d3599df1da171fc2606da0f588ff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405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X48dd330b877c8b031aeffeaaeb686e62771f401"/>
    <w:p>
      <w:pPr>
        <w:pStyle w:val="21"/>
      </w:pPr>
      <w:r>
        <w:t xml:space="preserve">3. Asignación automática y control de capacidad</w:t>
      </w:r>
    </w:p>
    <w:p>
      <w:pPr>
        <w:pStyle w:val="FirstParagraph"/>
      </w:pPr>
      <w:r>
        <w:t xml:space="preserve">Se requiere un mecanismo de asignación automática (“Wizard” del botón morado) que asigne por especialidad y balance de carga, considerando capacidad nominal por puesto (p. ej., 120 HH/día), mostrando criterios y resultados, y permitiendo sobreescritura manual con auditoría.</w:t>
      </w:r>
      <w:r>
        <w:t xml:space="preserve"> </w:t>
      </w:r>
      <w:r>
        <w:rPr>
          <w:shd w:val="clear" w:color="auto" w:fill="F9EDD4"/>
        </w:rPr>
        <w:r>
          <w:t xml:space="preserve">El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tablero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debe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bloquear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sobrecargas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(no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solo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alertar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rojo),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advertir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subutilización,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ofrecer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análisis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distribución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(HR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Balance)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umbrales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KPI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Capacidad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Programada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(80%,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85%,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90%)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colchón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10%–20%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para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fallas.</w:t>
        </w:r>
      </w:r>
    </w:p>
    <w:p>
      <w:pPr>
        <w:pStyle w:val="a2"/>
      </w:pPr>
      <w:r>
        <w:t xml:space="preserve">Elementos de acción</w:t>
      </w:r>
    </w:p>
    <w:p>
      <w:pPr>
        <w:pStyle w:val="Compact"/>
        <w:numPr>
          <w:ilvl w:val="0"/>
          <w:numId w:val="1010"/>
        </w:numPr>
      </w:pPr>
      <w:r>
        <w:t xml:space="preserve">Integrar Wizard de asignación automática con balance por especialidad y capacidad; exponer criterios/resultados — Speaker 4 (Desarrollo)</w:t>
      </w:r>
    </w:p>
    <w:p>
      <w:pPr>
        <w:pStyle w:val="Compact"/>
        <w:numPr>
          <w:ilvl w:val="0"/>
          <w:numId w:val="1011"/>
        </w:numPr>
      </w:pPr>
      <w:r>
        <w:t xml:space="preserve">Configurar capacidad nominal por puesto y porcentaje de uso en tiempo real — Speaker 4 (Desarrollo), Jorge Alquinta</w:t>
      </w:r>
    </w:p>
    <w:p>
      <w:pPr>
        <w:pStyle w:val="Compact"/>
        <w:numPr>
          <w:ilvl w:val="0"/>
          <w:numId w:val="1012"/>
        </w:numPr>
      </w:pPr>
      <w:r>
        <w:t xml:space="preserve">Permitir sobreescritura manual con registro de cambios — Speaker 4 (Desarrollo)</w:t>
      </w:r>
    </w:p>
    <w:p>
      <w:pPr>
        <w:pStyle w:val="Compact"/>
        <w:numPr>
          <w:ilvl w:val="0"/>
          <w:numId w:val="1013"/>
        </w:numPr>
      </w:pPr>
      <w:r>
        <w:t xml:space="preserve">Hacer bloqueante la sobrecarga y alertar subutilización — Equipo de Desarrollo, Magda, Jorge Alquinta</w:t>
      </w:r>
    </w:p>
    <w:p>
      <w:pPr>
        <w:pStyle w:val="Compact"/>
        <w:numPr>
          <w:ilvl w:val="0"/>
          <w:numId w:val="1014"/>
        </w:numPr>
      </w:pPr>
      <w:r>
        <w:t xml:space="preserve">Incorporar botón de análisis de distribución de carga (HR Balance) y configurar umbrales KPI con reportes al cierre — Equipo de Desarrollo, Magda, Jorge Alquinta</w:t>
      </w:r>
    </w:p>
    <w:bookmarkEnd w:id="25"/>
    <w:bookmarkStart w:id="26" w:name="X4f3b88525b0f84295f9cd8de789f995e9760f47"/>
    <w:p>
      <w:pPr>
        <w:pStyle w:val="21"/>
      </w:pPr>
      <w:r>
        <w:t xml:space="preserve">4. Reglas por turnos, continuidad y disponibilidad</w:t>
      </w:r>
    </w:p>
    <w:p>
      <w:pPr>
        <w:pStyle w:val="FirstParagraph"/>
      </w:pPr>
      <w:r>
        <w:t xml:space="preserve">Las asignaciones deben respetar calendarios de 12x12 y 3x8.</w:t>
      </w:r>
      <w:r>
        <w:t xml:space="preserve"> </w:t>
      </w:r>
      <w:r>
        <w:rPr>
          <w:shd w:val="clear" w:color="auto" w:fill="F9EDD4"/>
        </w:rPr>
        <w:r>
          <w:t xml:space="preserve">Si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una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actividad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excede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turno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un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técnico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(ej.</w:t>
        </w:r>
      </w:r>
      <w:r>
        <w:t xml:space="preserve">, 16 h vs. 12 h disponibles), el sistema debe permitir completar con técnico del turno siguiente o continuar con el mismo técnico al día siguiente, visualizar consumo parcial y saldo, y evitar asignaciones en periodos de descanso. Se necesita mantener actualizada la disponibilidad día/noche (sol/luna) con carga masiva desde Excel, permisos por disciplina y proyección de 2–52 semanas, con ajustes por ausencias.</w:t>
      </w:r>
    </w:p>
    <w:p>
      <w:pPr>
        <w:pStyle w:val="a2"/>
      </w:pPr>
      <w:r>
        <w:t xml:space="preserve">Elementos de acción</w:t>
      </w:r>
    </w:p>
    <w:p>
      <w:pPr>
        <w:pStyle w:val="Compact"/>
        <w:numPr>
          <w:ilvl w:val="0"/>
          <w:numId w:val="1015"/>
        </w:numPr>
      </w:pPr>
      <w:r>
        <w:t xml:space="preserve">Implementar continuidad del saldo de horas entre turnos (opción A: técnico de noche; opción B: mismo técnico día siguiente) — Equipo de Desarrollo, Jorge Alquinta</w:t>
      </w:r>
    </w:p>
    <w:p>
      <w:pPr>
        <w:pStyle w:val="Compact"/>
        <w:numPr>
          <w:ilvl w:val="0"/>
          <w:numId w:val="1016"/>
        </w:numPr>
      </w:pPr>
      <w:r>
        <w:t xml:space="preserve">Restringir extensiones a periodos de descanso según calendario — Equipo de Desarrollo</w:t>
      </w:r>
    </w:p>
    <w:p>
      <w:pPr>
        <w:pStyle w:val="Compact"/>
        <w:numPr>
          <w:ilvl w:val="0"/>
          <w:numId w:val="1017"/>
        </w:numPr>
      </w:pPr>
      <w:r>
        <w:t xml:space="preserve">Visualizar consumo parcial y saldo pendiente en el tablero — Equipo de Desarrollo, Magda</w:t>
      </w:r>
    </w:p>
    <w:p>
      <w:pPr>
        <w:pStyle w:val="Compact"/>
        <w:numPr>
          <w:ilvl w:val="0"/>
          <w:numId w:val="1018"/>
        </w:numPr>
      </w:pPr>
      <w:r>
        <w:t xml:space="preserve">Carga masiva de personas y turnos desde Excel; definir plantilla y validaciones; permisos por disciplina — [Insertar Nombre], David, Magda, Equipo de Desarrollo, Jorge Alquinta</w:t>
      </w:r>
    </w:p>
    <w:p>
      <w:pPr>
        <w:pStyle w:val="Compact"/>
        <w:numPr>
          <w:ilvl w:val="0"/>
          <w:numId w:val="1019"/>
        </w:numPr>
      </w:pPr>
      <w:r>
        <w:t xml:space="preserve">Integrar indicadores sol/luna con la fuente de datos — Equipo de Desarrollo, David</w:t>
      </w:r>
    </w:p>
    <w:bookmarkEnd w:id="26"/>
    <w:bookmarkStart w:id="27" w:name="X376c8b09a64dbb759a2dd2ec14c5fda38d54476"/>
    <w:p>
      <w:pPr>
        <w:pStyle w:val="21"/>
      </w:pPr>
      <w:r>
        <w:t xml:space="preserve">5. HR Balance (vista semanal por puesto)</w:t>
      </w:r>
    </w:p>
    <w:p>
      <w:pPr>
        <w:pStyle w:val="FirstParagraph"/>
      </w:pPr>
      <w:r>
        <w:rPr>
          <w:shd w:val="clear" w:color="auto" w:fill="F9EDD4"/>
        </w:rPr>
        <w:r>
          <w:t xml:space="preserve">HR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Balance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debe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listar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solo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puestos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trabajo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(sin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mezclar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títulos/códigos)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seleccionar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un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puesto,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abrir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una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curva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7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días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línea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meta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80%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HH.</w:t>
        </w:r>
      </w:r>
      <w:r>
        <w:t xml:space="preserve"> </w:t>
      </w:r>
      <w:r>
        <w:rPr>
          <w:shd w:val="clear" w:color="auto" w:fill="F9EDD4"/>
        </w:rPr>
        <w:r>
          <w:t xml:space="preserve">Requiere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filtro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semana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propio,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independiente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global,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calendario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semanal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configurable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(inicio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semana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variable)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validación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totales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HH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por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semana.</w:t>
        </w:r>
      </w:r>
    </w:p>
    <w:p>
      <w:pPr>
        <w:pStyle w:val="a2"/>
      </w:pPr>
      <w:r>
        <w:t xml:space="preserve">Elementos de acción</w:t>
      </w:r>
    </w:p>
    <w:p>
      <w:pPr>
        <w:pStyle w:val="Compact"/>
        <w:numPr>
          <w:ilvl w:val="0"/>
          <w:numId w:val="1020"/>
        </w:numPr>
      </w:pPr>
      <w:r>
        <w:t xml:space="preserve">Limpiar lista a “solo puestos” — Magda, Jorge Alquinta</w:t>
      </w:r>
    </w:p>
    <w:p>
      <w:pPr>
        <w:pStyle w:val="Compact"/>
        <w:numPr>
          <w:ilvl w:val="0"/>
          <w:numId w:val="1021"/>
        </w:numPr>
      </w:pPr>
      <w:r>
        <w:t xml:space="preserve">Al clic en puesto, abrir gráfico semanal con línea de meta 80%; selector de semana con actualización dinámica — Equipo de Producto, Jorge Alquinta</w:t>
      </w:r>
    </w:p>
    <w:p>
      <w:pPr>
        <w:pStyle w:val="Compact"/>
        <w:numPr>
          <w:ilvl w:val="0"/>
          <w:numId w:val="1022"/>
        </w:numPr>
      </w:pPr>
      <w:r>
        <w:t xml:space="preserve">Agregar filtro de semana específico de HR Balance — Equipo de Desarrollo</w:t>
      </w:r>
    </w:p>
    <w:p>
      <w:pPr>
        <w:pStyle w:val="Compact"/>
        <w:numPr>
          <w:ilvl w:val="0"/>
          <w:numId w:val="1023"/>
        </w:numPr>
      </w:pPr>
      <w:r>
        <w:t xml:space="preserve">Configurar inicio de semana editable y validar totales mostrados — Equipo de Desarrollo, Magda, Equipo de QA</w:t>
      </w:r>
    </w:p>
    <w:bookmarkEnd w:id="27"/>
    <w:bookmarkStart w:id="31" w:name="Xbee453c902a5eed71cb26570a68a1c3cb18c41c"/>
    <w:p>
      <w:pPr>
        <w:pStyle w:val="21"/>
      </w:pPr>
      <w:r>
        <w:t xml:space="preserve">6. Materiales (reservas y estados)</w:t>
      </w:r>
    </w:p>
    <w:p>
      <w:pPr>
        <w:pStyle w:val="FirstParagraph"/>
      </w:pPr>
      <w:r>
        <w:t xml:space="preserve">Cada OT debe mostrar repuestos agrupados por número de reserva, con estados “Pendiente”, “Parcial”, “Completado”, “En área de espera”, “Entregado”. “Parcial” refleja cantidades incompletas (ej., 14 solicitados, 6 disponibles). Se documenta un “segundo check” del programador con almacén (hoy por correo). La integración con SAP para actualización en línea es deseable a futuro.</w:t>
      </w:r>
    </w:p>
    <w:p>
      <w:pPr>
        <w:pStyle w:val="a2"/>
      </w:pPr>
      <w:r>
        <w:t xml:space="preserve">Elementos de acción</w:t>
      </w:r>
    </w:p>
    <w:p>
      <w:pPr>
        <w:pStyle w:val="Compact"/>
        <w:numPr>
          <w:ilvl w:val="0"/>
          <w:numId w:val="1024"/>
        </w:numPr>
      </w:pPr>
      <w:r>
        <w:t xml:space="preserve">Mostrar “número de reserva” junto a código y descripción del repuesto — Equipo de Desarrollo, Magda</w:t>
      </w:r>
    </w:p>
    <w:p>
      <w:pPr>
        <w:pStyle w:val="Compact"/>
        <w:numPr>
          <w:ilvl w:val="0"/>
          <w:numId w:val="1025"/>
        </w:numPr>
      </w:pPr>
      <w:r>
        <w:t xml:space="preserve">Clarificar pipeline de estados y definición operativa, con foco en “Parcial” — Jorge Alquinta, Equipo de Producto</w:t>
      </w:r>
    </w:p>
    <w:p>
      <w:pPr>
        <w:pStyle w:val="Compact"/>
        <w:numPr>
          <w:ilvl w:val="0"/>
          <w:numId w:val="1026"/>
        </w:numPr>
      </w:pPr>
      <w:r>
        <w:t xml:space="preserve">Documentar el proceso de segundo check con reservas — Jorge Alquinta</w:t>
      </w:r>
    </w:p>
    <w:p>
      <w:pPr>
        <w:pStyle w:val="Compact"/>
        <w:numPr>
          <w:ilvl w:val="0"/>
          <w:numId w:val="1027"/>
        </w:numPr>
      </w:pPr>
      <w:r>
        <w:t xml:space="preserve">Especificar requerimientos para futura integración con SAP — Magda, Equipo de Integraciones</w:t>
      </w:r>
    </w:p>
    <w:p>
      <w:pPr>
        <w:pStyle w:val="FirstParagraph"/>
      </w:pPr>
      <w:r>
        <w:drawing>
          <wp:inline>
            <wp:extent cx="2108200" cy="14054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/tmp/extracted-media/12d8f81413b2208a93ca58490b376b18a0a3520f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405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X713b3cb113c8d46478c1a69dbfd8fca06dd2a1a"/>
    <w:p>
      <w:pPr>
        <w:pStyle w:val="21"/>
      </w:pPr>
      <w:r>
        <w:t xml:space="preserve">7. Equipos de apoyo (inventario, atributos y bloqueo)</w:t>
      </w:r>
    </w:p>
    <w:p>
      <w:pPr>
        <w:pStyle w:val="FirstParagraph"/>
      </w:pPr>
      <w:r>
        <w:rPr>
          <w:shd w:val="clear" w:color="auto" w:fill="F9EDD4"/>
        </w:rPr>
        <w:r>
          <w:t xml:space="preserve">Se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debe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manejar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inventario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equipos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apoyo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(móviles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fijos)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atributos: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tipo,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capacidad/característica,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condición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(operativo/fuera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servicio),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propiedad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(propio/arrendado)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cantidad,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creación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uno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uno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(identificación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individual)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reflejo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tablero.</w:t>
        </w:r>
      </w:r>
      <w:r>
        <w:t xml:space="preserve"> </w:t>
      </w:r>
      <w:r>
        <w:t xml:space="preserve">Debe bloquearse la doble asignación de un mismo equipo único en paralelo. Se requiere eliminar data “dummy” y asegurar fuente única.</w:t>
      </w:r>
    </w:p>
    <w:p>
      <w:pPr>
        <w:pStyle w:val="a2"/>
      </w:pPr>
      <w:r>
        <w:t xml:space="preserve">Elementos de acción</w:t>
      </w:r>
    </w:p>
    <w:p>
      <w:pPr>
        <w:pStyle w:val="Compact"/>
        <w:numPr>
          <w:ilvl w:val="0"/>
          <w:numId w:val="1028"/>
        </w:numPr>
      </w:pPr>
      <w:r>
        <w:t xml:space="preserve">Ampliar modelo de datos y crear equipos uno a uno con identificación — Equipo de Desarrollo, Magda</w:t>
      </w:r>
    </w:p>
    <w:p>
      <w:pPr>
        <w:pStyle w:val="Compact"/>
        <w:numPr>
          <w:ilvl w:val="0"/>
          <w:numId w:val="1029"/>
        </w:numPr>
      </w:pPr>
      <w:r>
        <w:t xml:space="preserve">Conectar módulo de equipos de apoyo con el tablero — Equipo de Integraciones, David</w:t>
      </w:r>
    </w:p>
    <w:p>
      <w:pPr>
        <w:pStyle w:val="Compact"/>
        <w:numPr>
          <w:ilvl w:val="0"/>
          <w:numId w:val="1030"/>
        </w:numPr>
      </w:pPr>
      <w:r>
        <w:t xml:space="preserve">Implementar bloqueo de doble asignación y pruebas — Equipo de Desarrollo, QA</w:t>
      </w:r>
    </w:p>
    <w:p>
      <w:pPr>
        <w:pStyle w:val="Compact"/>
        <w:numPr>
          <w:ilvl w:val="0"/>
          <w:numId w:val="1031"/>
        </w:numPr>
      </w:pPr>
      <w:r>
        <w:t xml:space="preserve">Limpiar data “dummy” y validar consumo desde el módulo de origen — David, Equipo de QA</w:t>
      </w:r>
    </w:p>
    <w:bookmarkEnd w:id="32"/>
    <w:bookmarkStart w:id="33" w:name="Xdfe59cce042fe083d7d32ed5c8ff4d59d9af1a5"/>
    <w:p>
      <w:pPr>
        <w:pStyle w:val="21"/>
      </w:pPr>
      <w:r>
        <w:t xml:space="preserve">8. Vistas y navegación de Schedule</w:t>
      </w:r>
    </w:p>
    <w:p>
      <w:pPr>
        <w:pStyle w:val="FirstParagraph"/>
      </w:pPr>
      <w:r>
        <w:t xml:space="preserve">El programador requiere vistas por rango: 14 días, 3 semanas o 1 mes, con desplazamiento fluido.</w:t>
      </w:r>
      <w:r>
        <w:t xml:space="preserve"> </w:t>
      </w:r>
      <w:r>
        <w:rPr>
          <w:shd w:val="clear" w:color="auto" w:fill="F9EDD4"/>
        </w:rPr>
        <w:r>
          <w:t xml:space="preserve">Se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debe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permitir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“reservar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semana”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cuando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esté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cargada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realizar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reservas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puntuales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OTs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antes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del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cierre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total,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función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“guardar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cambios”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para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continuidad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trabajo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consistencia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entre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reservas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puntuales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cierre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semanal.</w:t>
        </w:r>
      </w:r>
    </w:p>
    <w:p>
      <w:pPr>
        <w:pStyle w:val="a2"/>
      </w:pPr>
      <w:r>
        <w:t xml:space="preserve">Elementos de acción</w:t>
      </w:r>
    </w:p>
    <w:p>
      <w:pPr>
        <w:pStyle w:val="Compact"/>
        <w:numPr>
          <w:ilvl w:val="0"/>
          <w:numId w:val="1032"/>
        </w:numPr>
      </w:pPr>
      <w:r>
        <w:t xml:space="preserve">Confirmar y ajustar opciones de vista temporal (14 días, 3 semanas, 1 mes) — Equipo de Producto, Equipo de Desarrollo</w:t>
      </w:r>
    </w:p>
    <w:p>
      <w:pPr>
        <w:pStyle w:val="Compact"/>
        <w:numPr>
          <w:ilvl w:val="0"/>
          <w:numId w:val="1033"/>
        </w:numPr>
      </w:pPr>
      <w:r>
        <w:t xml:space="preserve">Definir reglas del botón “Reservar semana” y reservas puntuales — David, Equipo de Producto</w:t>
      </w:r>
    </w:p>
    <w:p>
      <w:pPr>
        <w:pStyle w:val="Compact"/>
        <w:numPr>
          <w:ilvl w:val="0"/>
          <w:numId w:val="1034"/>
        </w:numPr>
      </w:pPr>
      <w:r>
        <w:t xml:space="preserve">Implementar “guardar cambios” de OTs — Equipo de Desarrollo</w:t>
      </w:r>
    </w:p>
    <w:p>
      <w:pPr>
        <w:pStyle w:val="Compact"/>
        <w:numPr>
          <w:ilvl w:val="0"/>
          <w:numId w:val="1035"/>
        </w:numPr>
      </w:pPr>
      <w:r>
        <w:t xml:space="preserve">Validar la interacción reservas puntuales vs. cierre semanal — Equipo de QA</w:t>
      </w:r>
    </w:p>
    <w:bookmarkEnd w:id="33"/>
    <w:bookmarkStart w:id="34" w:name="X041a61cdd7dc69eb77567ec2b1ab8cd66b39fea"/>
    <w:p>
      <w:pPr>
        <w:pStyle w:val="21"/>
      </w:pPr>
      <w:r>
        <w:t xml:space="preserve">9. Ejecución (vista del ejecutor)</w:t>
      </w:r>
    </w:p>
    <w:p>
      <w:pPr>
        <w:pStyle w:val="FirstParagraph"/>
      </w:pPr>
      <w:r>
        <w:t xml:space="preserve">El ejecutor necesita una vista semanal con selección de día y listado de OTs del día, mostrando duraciones, orden de ejecución y consistencia con turnos, soportando casos de una OT larga (12 h) o múltiples OTs cortas que sumen 12 h. Debe sincronizar la secuencia definida en Schedule.</w:t>
      </w:r>
    </w:p>
    <w:p>
      <w:pPr>
        <w:pStyle w:val="a2"/>
      </w:pPr>
      <w:r>
        <w:t xml:space="preserve">Elementos de acción</w:t>
      </w:r>
    </w:p>
    <w:p>
      <w:pPr>
        <w:pStyle w:val="Compact"/>
        <w:numPr>
          <w:ilvl w:val="0"/>
          <w:numId w:val="1036"/>
        </w:numPr>
      </w:pPr>
      <w:r>
        <w:t xml:space="preserve">Implementar vista semanal de ejecución con orden de OTs — Equipo de Desarrollo, Jorge Alquinta</w:t>
      </w:r>
    </w:p>
    <w:p>
      <w:pPr>
        <w:pStyle w:val="Compact"/>
        <w:numPr>
          <w:ilvl w:val="0"/>
          <w:numId w:val="1037"/>
        </w:numPr>
      </w:pPr>
      <w:r>
        <w:t xml:space="preserve">Sincronizar secuencia desde Schedule — Equipo de Integraciones, David</w:t>
      </w:r>
    </w:p>
    <w:p>
      <w:pPr>
        <w:pStyle w:val="Compact"/>
        <w:numPr>
          <w:ilvl w:val="0"/>
          <w:numId w:val="1038"/>
        </w:numPr>
      </w:pPr>
      <w:r>
        <w:t xml:space="preserve">Probar casos de carga y consistencia de turnos — Equipo de QA</w:t>
      </w:r>
    </w:p>
    <w:bookmarkEnd w:id="34"/>
    <w:bookmarkStart w:id="35" w:name="Xc45150d533f83e9f5ee70147bd200d3a580e49b"/>
    <w:p>
      <w:pPr>
        <w:pStyle w:val="21"/>
      </w:pPr>
      <w:r>
        <w:t xml:space="preserve">10. Vistas para supervisión y filtros</w:t>
      </w:r>
    </w:p>
    <w:p>
      <w:pPr>
        <w:pStyle w:val="FirstParagraph"/>
      </w:pPr>
      <w:r>
        <w:t xml:space="preserve">La supervisión requiere una vista semanal tipo Listado, controlada por filtros de semana (incluyendo semanas anteriores), orden cronológico por hora de inicio y duración, separando turnos y soportando tareas que cruzan turnos.</w:t>
      </w:r>
      <w:r>
        <w:t xml:space="preserve"> </w:t>
      </w:r>
      <w:r>
        <w:rPr>
          <w:shd w:val="clear" w:color="auto" w:fill="F9EDD4"/>
        </w:rPr>
        <w:r>
          <w:t xml:space="preserve">Es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necesario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rediseñar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filtros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por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número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semana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por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rangos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fechas,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eliminando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etiquetas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genéricas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(“30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days”)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restaurando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filtros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semanales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“Identificación”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“Plugin”.</w:t>
        </w:r>
      </w:r>
    </w:p>
    <w:p>
      <w:pPr>
        <w:pStyle w:val="a2"/>
      </w:pPr>
      <w:r>
        <w:t xml:space="preserve">Elementos de acción</w:t>
      </w:r>
    </w:p>
    <w:p>
      <w:pPr>
        <w:pStyle w:val="Compact"/>
        <w:numPr>
          <w:ilvl w:val="0"/>
          <w:numId w:val="1039"/>
        </w:numPr>
      </w:pPr>
      <w:r>
        <w:t xml:space="preserve">Implementar vista semanal única “Listado” con filtros de semana y orden cronológico; soportar cruces de turnos — Equipo de Desarrollo, Jorge Alquinta, Magda</w:t>
      </w:r>
    </w:p>
    <w:p>
      <w:pPr>
        <w:pStyle w:val="Compact"/>
        <w:numPr>
          <w:ilvl w:val="0"/>
          <w:numId w:val="1040"/>
        </w:numPr>
      </w:pPr>
      <w:r>
        <w:t xml:space="preserve">Definir campos y reglas de orden para la vista — Magda, Jorge Alquinta (2026-04-28)</w:t>
      </w:r>
    </w:p>
    <w:p>
      <w:pPr>
        <w:pStyle w:val="Compact"/>
        <w:numPr>
          <w:ilvl w:val="0"/>
          <w:numId w:val="1041"/>
        </w:numPr>
      </w:pPr>
      <w:r>
        <w:t xml:space="preserve">Renombrar pestaña principal a “Listado” y conectarla a filtros — Equipo de Desarrollo, UX/UI</w:t>
      </w:r>
    </w:p>
    <w:p>
      <w:pPr>
        <w:pStyle w:val="Compact"/>
        <w:numPr>
          <w:ilvl w:val="0"/>
          <w:numId w:val="1042"/>
        </w:numPr>
      </w:pPr>
      <w:r>
        <w:t xml:space="preserve">Implementar filtro por número de semana y rango de fechas “entre [inicio] y [cierre]”; restaurar filtros en “Identificación” y “Plugin” — Equipo de Desarrollo, UX/UI</w:t>
      </w:r>
    </w:p>
    <w:p>
      <w:pPr>
        <w:pStyle w:val="Compact"/>
        <w:numPr>
          <w:ilvl w:val="0"/>
          <w:numId w:val="1043"/>
        </w:numPr>
      </w:pPr>
      <w:r>
        <w:t xml:space="preserve">Validar filtros con casos de prueba (semanas consecutivas, cruces de mes) — QA</w:t>
      </w:r>
    </w:p>
    <w:bookmarkEnd w:id="35"/>
    <w:bookmarkStart w:id="36" w:name="X76fe796034716f6f172051ce8f1edba4edc4f95"/>
    <w:p>
      <w:pPr>
        <w:pStyle w:val="21"/>
      </w:pPr>
      <w:r>
        <w:t xml:space="preserve">11. Trabajos no programados (fallas P1/P2) en ejecución</w:t>
      </w:r>
    </w:p>
    <w:p>
      <w:pPr>
        <w:pStyle w:val="FirstParagraph"/>
      </w:pPr>
      <w:r>
        <w:rPr>
          <w:shd w:val="clear" w:color="auto" w:fill="F9EDD4"/>
        </w:rPr>
        <w:r>
          <w:t xml:space="preserve">Se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requiere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una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sección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“No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programado”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para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avisos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falla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prioritaria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(P1/P2)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que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se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transforman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OTs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PM03,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con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filtros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por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prioridad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estado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“pendiente”,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y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un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flujo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de</w:t>
        </w:r>
      </w:r>
      <w:r>
        <w:rPr>
          <w:shd w:val="clear" w:color="auto" w:fill="F9EDD4"/>
        </w:rPr>
        <w:r>
          <w:t xml:space="preserve"> </w:t>
        </w:r>
      </w:r>
      <w:r>
        <w:rPr>
          <w:shd w:val="clear" w:color="auto" w:fill="F9EDD4"/>
        </w:rPr>
        <w:r>
          <w:t xml:space="preserve">aprobación/rechazo.</w:t>
        </w:r>
      </w:r>
      <w:r>
        <w:t xml:space="preserve"> </w:t>
      </w:r>
      <w:r>
        <w:t xml:space="preserve">Debe integrarse un asistente de IA que sugiera actividades y repuestos para la OT, con validación del supervisor, y permitir cargar/editar operaciones, materiales, herramientas y puestos, y cambiar estatus. Se deben definir reglas operativas de la política 80/20 para decidir cuándo mover tareas programadas al día siguiente o reprogramar a otra semana.</w:t>
      </w:r>
    </w:p>
    <w:p>
      <w:pPr>
        <w:pStyle w:val="a2"/>
      </w:pPr>
      <w:r>
        <w:t xml:space="preserve">Elementos de acción</w:t>
      </w:r>
    </w:p>
    <w:p>
      <w:pPr>
        <w:pStyle w:val="Compact"/>
        <w:numPr>
          <w:ilvl w:val="0"/>
          <w:numId w:val="1044"/>
        </w:numPr>
      </w:pPr>
      <w:r>
        <w:t xml:space="preserve">Crear sección “No programado” con OTs PM03 visibles en ejecución — Equipo de Desarrollo, Jorge Alquinta</w:t>
      </w:r>
    </w:p>
    <w:p>
      <w:pPr>
        <w:pStyle w:val="Compact"/>
        <w:numPr>
          <w:ilvl w:val="0"/>
          <w:numId w:val="1045"/>
        </w:numPr>
      </w:pPr>
      <w:r>
        <w:t xml:space="preserve">Filtros por prioridad y estado en “Identificación” y transformación a OT con trazabilidad — Equipo de Desarrollo</w:t>
      </w:r>
    </w:p>
    <w:p>
      <w:pPr>
        <w:pStyle w:val="Compact"/>
        <w:numPr>
          <w:ilvl w:val="0"/>
          <w:numId w:val="1046"/>
        </w:numPr>
      </w:pPr>
      <w:r>
        <w:t xml:space="preserve">Integrar asistente de IA con edición/validación por supervisor — Equipo de Desarrollo, IA/ML</w:t>
      </w:r>
    </w:p>
    <w:p>
      <w:pPr>
        <w:pStyle w:val="Compact"/>
        <w:numPr>
          <w:ilvl w:val="0"/>
          <w:numId w:val="1047"/>
        </w:numPr>
      </w:pPr>
      <w:r>
        <w:t xml:space="preserve">Permitir carga/edición completa de la OT y cambio de estatus — Equipo de Desarrollo</w:t>
      </w:r>
    </w:p>
    <w:p>
      <w:pPr>
        <w:pStyle w:val="Compact"/>
        <w:numPr>
          <w:ilvl w:val="0"/>
          <w:numId w:val="1048"/>
        </w:numPr>
      </w:pPr>
      <w:r>
        <w:t xml:space="preserve">Definir y reflejar reglas 80/20 en la UI — Jorge Alquinta, Magda</w:t>
      </w:r>
    </w:p>
    <w:bookmarkEnd w:id="36"/>
    <w:bookmarkStart w:id="37" w:name="X90de4fe3361ea76da80a392314f7dfe6d3376e5"/>
    <w:p>
      <w:pPr>
        <w:pStyle w:val="21"/>
      </w:pPr>
      <w:r>
        <w:t xml:space="preserve">12. Backlog, Jira y racionalización de UI</w:t>
      </w:r>
    </w:p>
    <w:p>
      <w:pPr>
        <w:pStyle w:val="FirstParagraph"/>
      </w:pPr>
      <w:r>
        <w:t xml:space="preserve">Se debe consolidar todo lo levantado en Jira, crear épicas y tickets separados para “Schedule” y “Execution”, priorizar para cerrar ambos módulos y registrar el módulo pendiente por definir. Es necesario revisar la estructura de pestañas: mantener Gantt View como entregable final, evaluar convertir HR Balance en botón dentro de la vista principal, y revisar/eliminar “Mass Change” si no aporta valor, secuenciando esta limpieza tras corregir datos base.</w:t>
      </w:r>
    </w:p>
    <w:p>
      <w:pPr>
        <w:pStyle w:val="a2"/>
      </w:pPr>
      <w:r>
        <w:t xml:space="preserve">Elementos de acción</w:t>
      </w:r>
    </w:p>
    <w:p>
      <w:pPr>
        <w:pStyle w:val="Compact"/>
        <w:numPr>
          <w:ilvl w:val="0"/>
          <w:numId w:val="1049"/>
        </w:numPr>
      </w:pPr>
      <w:r>
        <w:t xml:space="preserve">Subir a Jira todas las tareas de programación y lo levantado en las sesiones (con criterios de aceptación) — Magda, Gonzalo (2026-04-27)</w:t>
      </w:r>
    </w:p>
    <w:p>
      <w:pPr>
        <w:pStyle w:val="Compact"/>
        <w:numPr>
          <w:ilvl w:val="0"/>
          <w:numId w:val="1050"/>
        </w:numPr>
      </w:pPr>
      <w:r>
        <w:t xml:space="preserve">Crear épicas/tickets para “Schedule” y “Execution” y priorizarlas — Magda, David, Gonzalo</w:t>
      </w:r>
    </w:p>
    <w:p>
      <w:pPr>
        <w:pStyle w:val="Compact"/>
        <w:numPr>
          <w:ilvl w:val="0"/>
          <w:numId w:val="1051"/>
        </w:numPr>
      </w:pPr>
      <w:r>
        <w:t xml:space="preserve">Registrar en Jira el módulo pendiente “[Insert Título]” con notas y dependencias — Magda</w:t>
      </w:r>
    </w:p>
    <w:p>
      <w:pPr>
        <w:pStyle w:val="Compact"/>
        <w:numPr>
          <w:ilvl w:val="0"/>
          <w:numId w:val="1052"/>
        </w:numPr>
      </w:pPr>
      <w:r>
        <w:t xml:space="preserve">Mantener ciclo de refinamiento continuo (crear en Jira, desarrollar, perfeccionar) — Equipo de Producto, Equipo de Desarrollo</w:t>
      </w:r>
    </w:p>
    <w:p>
      <w:pPr>
        <w:pStyle w:val="Compact"/>
        <w:numPr>
          <w:ilvl w:val="0"/>
          <w:numId w:val="1053"/>
        </w:numPr>
      </w:pPr>
      <w:r>
        <w:t xml:space="preserve">Mantener Gantt View; evaluar HR Balance como botón y la utilidad de Mass Change — Equipo de Desarrollo, Magda, Jorge Alquinta</w:t>
      </w:r>
    </w:p>
    <w:p>
      <w:pPr>
        <w:pStyle w:val="Compact"/>
        <w:numPr>
          <w:ilvl w:val="0"/>
          <w:numId w:val="1054"/>
        </w:numPr>
      </w:pPr>
      <w:r>
        <w:t xml:space="preserve">Revisar pestañas tras corregir fuentes de datos — Magda, Equipo de Desarrollo</w:t>
      </w:r>
    </w:p>
    <w:p>
      <w:pPr>
        <w:pStyle w:val="Compact"/>
        <w:numPr>
          <w:ilvl w:val="0"/>
          <w:numId w:val="1055"/>
        </w:numPr>
      </w:pPr>
      <w:r>
        <w:t xml:space="preserve">Sesión de definición detallada por pestaña/funcionalidad — Magda, Jorge Alquinta (2026-04-28 11:00)</w:t>
      </w:r>
    </w:p>
    <w:p>
      <w:pPr>
        <w:pStyle w:val="FirstParagraph"/>
      </w:pPr>
      <w:r>
        <w:t xml:space="preserve">Sugerencias y brechas detectadas por IA</w:t>
      </w:r>
    </w:p>
    <w:p>
      <w:pPr>
        <w:pStyle w:val="Compact"/>
        <w:numPr>
          <w:ilvl w:val="0"/>
          <w:numId w:val="1056"/>
        </w:numPr>
      </w:pPr>
      <w:r>
        <w:t xml:space="preserve">Definir el tercer módulo pendiente (nombre, alcance, dependencias, criterios de aceptación).</w:t>
      </w:r>
    </w:p>
    <w:p>
      <w:pPr>
        <w:pStyle w:val="Compact"/>
        <w:numPr>
          <w:ilvl w:val="0"/>
          <w:numId w:val="1056"/>
        </w:numPr>
      </w:pPr>
      <w:r>
        <w:t xml:space="preserve">Cerrar reglas de reasignación y conflictos: partición de operaciones cuando exceden capacidad, solapamientos entre especialidades y continuidad entre turnos.</w:t>
      </w:r>
    </w:p>
    <w:p>
      <w:pPr>
        <w:pStyle w:val="Compact"/>
        <w:numPr>
          <w:ilvl w:val="0"/>
          <w:numId w:val="1056"/>
        </w:numPr>
      </w:pPr>
      <w:r>
        <w:t xml:space="preserve">Especificar métricas y umbrales del balance de carga por técnico/puesto, alertas, reportes y límites.</w:t>
      </w:r>
    </w:p>
    <w:p>
      <w:pPr>
        <w:pStyle w:val="Compact"/>
        <w:numPr>
          <w:ilvl w:val="0"/>
          <w:numId w:val="1056"/>
        </w:numPr>
      </w:pPr>
      <w:r>
        <w:t xml:space="preserve">Documentar el enrutamiento alterno de P1/P2 y su exclusión/inclusión en el tablero de Schedule.</w:t>
      </w:r>
    </w:p>
    <w:p>
      <w:pPr>
        <w:pStyle w:val="Compact"/>
        <w:numPr>
          <w:ilvl w:val="0"/>
          <w:numId w:val="1056"/>
        </w:numPr>
      </w:pPr>
      <w:r>
        <w:t xml:space="preserve">Establecer política de auditoría de cambios de estatus y reasignaciones (quién, cuándo, qué).</w:t>
      </w:r>
    </w:p>
    <w:p>
      <w:pPr>
        <w:pStyle w:val="Compact"/>
        <w:numPr>
          <w:ilvl w:val="0"/>
          <w:numId w:val="1056"/>
        </w:numPr>
      </w:pPr>
      <w:r>
        <w:t xml:space="preserve">Diseñar la lógica detallada y responsables para continuidad de saldo entre turnos.</w:t>
      </w:r>
    </w:p>
    <w:p>
      <w:pPr>
        <w:pStyle w:val="Compact"/>
        <w:numPr>
          <w:ilvl w:val="0"/>
          <w:numId w:val="1056"/>
        </w:numPr>
      </w:pPr>
      <w:r>
        <w:t xml:space="preserve">Especificar técnica de carga masiva por Excel (plantilla, validaciones, permisos, manejo de cambios).</w:t>
      </w:r>
    </w:p>
    <w:p>
      <w:pPr>
        <w:pStyle w:val="Compact"/>
        <w:numPr>
          <w:ilvl w:val="0"/>
          <w:numId w:val="1056"/>
        </w:numPr>
      </w:pPr>
      <w:r>
        <w:t xml:space="preserve">Definir UI/UX completa para vistas semanales (campos, indicadores de turno, cruces de turno).</w:t>
      </w:r>
    </w:p>
    <w:p>
      <w:pPr>
        <w:pStyle w:val="Compact"/>
        <w:numPr>
          <w:ilvl w:val="0"/>
          <w:numId w:val="1056"/>
        </w:numPr>
      </w:pPr>
      <w:r>
        <w:t xml:space="preserve">Cerrar especificaciones de filtros por semana y rango de fechas (jerarquía, formatos, zonas horarias).</w:t>
      </w:r>
    </w:p>
    <w:p>
      <w:pPr>
        <w:pStyle w:val="Compact"/>
        <w:numPr>
          <w:ilvl w:val="0"/>
          <w:numId w:val="1056"/>
        </w:numPr>
      </w:pPr>
      <w:r>
        <w:t xml:space="preserve">Precisar reglas de “Reservar semana” versus reservas puntuales y su resolución de conflictos.</w:t>
      </w:r>
    </w:p>
    <w:p>
      <w:pPr>
        <w:pStyle w:val="Compact"/>
        <w:numPr>
          <w:ilvl w:val="0"/>
          <w:numId w:val="1056"/>
        </w:numPr>
      </w:pPr>
      <w:r>
        <w:t xml:space="preserve">Estándar de configuración de semana (inicio variable) y su impacto en reportes de HH y política de cambio.</w:t>
      </w:r>
    </w:p>
    <w:p>
      <w:pPr>
        <w:pStyle w:val="Compact"/>
        <w:numPr>
          <w:ilvl w:val="0"/>
          <w:numId w:val="1056"/>
        </w:numPr>
      </w:pPr>
      <w:r>
        <w:t xml:space="preserve">Plan de manejo de data “dummy” y sincronización definitiva entre módulos (origen único).</w:t>
      </w:r>
    </w:p>
    <w:p>
      <w:pPr>
        <w:pStyle w:val="Compact"/>
        <w:numPr>
          <w:ilvl w:val="0"/>
          <w:numId w:val="1056"/>
        </w:numPr>
      </w:pPr>
      <w:r>
        <w:t xml:space="preserve">Pipeline detallado de estados de materiales y visualización de faltantes, con cálculos y/o consultas externas.</w:t>
      </w:r>
    </w:p>
    <w:p>
      <w:pPr>
        <w:pStyle w:val="Compact"/>
        <w:numPr>
          <w:ilvl w:val="0"/>
          <w:numId w:val="1056"/>
        </w:numPr>
      </w:pPr>
      <w:r>
        <w:t xml:space="preserve">Cronograma y alcance para integración con SAP (bodega): responsables, pruebas y despliegue.</w:t>
      </w:r>
    </w:p>
    <w:p>
      <w:pPr>
        <w:pStyle w:val="Compact"/>
        <w:numPr>
          <w:ilvl w:val="0"/>
          <w:numId w:val="1056"/>
        </w:numPr>
      </w:pPr>
      <w:r>
        <w:t xml:space="preserve">Plan de pruebas y responsables para el bug de HH por disciplina y para bloqueos/alertas de capacidad.</w:t>
      </w:r>
    </w:p>
    <w:p>
      <w:pPr>
        <w:pStyle w:val="Compact"/>
        <w:numPr>
          <w:ilvl w:val="0"/>
          <w:numId w:val="1056"/>
        </w:numPr>
      </w:pPr>
      <w:r>
        <w:t xml:space="preserve">Alcance del módulo de IA (fuentes de datos, campos autocompletables, criterios de aceptación/rechazo, logging).</w:t>
      </w:r>
    </w:p>
    <w:bookmarkEnd w:id="37"/>
    <w:bookmarkEnd w:id="38"/>
    <w:sectPr w:rsidR="00275E2C">
      <w:pgSz w:h="16838" w:w="11906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80" w:val="left"/>
        </w:tabs>
        <w:ind w:hanging="360" w:hangingChars="200" w:left="780" w:leftChars="200"/>
      </w:pPr>
    </w:lvl>
  </w:abstractNum>
  <w:abstractNum w15:restartNumberingAfterBreak="0" w:abstractNumId="1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pos="780" w:val="left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2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hangingChars="200" w:left="360"/>
      </w:pPr>
    </w:lvl>
  </w:abstractNum>
  <w:abstractNum w15:restartNumberingAfterBreak="0" w:abstractNumId="3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pos="360" w:val="left"/>
        </w:tabs>
        <w:ind w:hanging="360" w:hangingChars="200" w:left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25454790" w:numId="1">
    <w:abstractNumId w:val="0"/>
  </w:num>
  <w:num w16cid:durableId="1848398556" w:numId="2">
    <w:abstractNumId w:val="2"/>
  </w:num>
  <w:num w16cid:durableId="1840075167" w:numId="3">
    <w:abstractNumId w:val="3"/>
  </w:num>
  <w:num w16cid:durableId="1470247572" w:numId="4">
    <w:abstractNumId w:val="1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F57A143E"/>
    <w:rsid w:val="FF53E7DD"/>
    <w:rsid w:val="00012906"/>
    <w:rsid w:val="000C1ABD"/>
    <w:rsid w:val="000D1E8A"/>
    <w:rsid w:val="000F3D3C"/>
    <w:rsid w:val="0011788E"/>
    <w:rsid w:val="00167011"/>
    <w:rsid w:val="001824E5"/>
    <w:rsid w:val="001A30C6"/>
    <w:rsid w:val="001B0185"/>
    <w:rsid w:val="001B2E68"/>
    <w:rsid w:val="00271600"/>
    <w:rsid w:val="00275E2C"/>
    <w:rsid w:val="0028497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641A8"/>
    <w:rsid w:val="005646E9"/>
    <w:rsid w:val="0057446D"/>
    <w:rsid w:val="00584C65"/>
    <w:rsid w:val="005C33F3"/>
    <w:rsid w:val="00605308"/>
    <w:rsid w:val="006203D4"/>
    <w:rsid w:val="006B04C2"/>
    <w:rsid w:val="007453A1"/>
    <w:rsid w:val="007535F6"/>
    <w:rsid w:val="00786E81"/>
    <w:rsid w:val="007938B8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64F6C"/>
    <w:rsid w:val="00EC331D"/>
    <w:rsid w:val="00F15494"/>
    <w:rsid w:val="00F75CC4"/>
    <w:rsid w:val="00FC1DF5"/>
    <w:rsid w:val="00FC30D7"/>
    <w:rsid w:val="00FD44F7"/>
    <w:rsid w:val="00FE2A3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footnote text" w:qFormat="1" w:uiPriority="9" w:unhideWhenUsed="1"/>
    <w:lsdException w:name="Title" w:qFormat="1" w:uiPriority="10"/>
    <w:lsdException w:name="Default Paragraph Font" w:semiHidden="1" w:uiPriority="1" w:unhideWhenUsed="1"/>
    <w:lsdException w:name="Body Text" w:qFormat="1"/>
    <w:lsdException w:name="Subtitle" w:qFormat="1" w:uiPriority="11"/>
    <w:lsdException w:name="Date" w:qFormat="1"/>
    <w:lsdException w:name="Block Text" w:qFormat="1" w:uiPriority="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pPr>
      <w:spacing w:after="200"/>
    </w:pPr>
    <w:rPr>
      <w:sz w:val="24"/>
      <w:szCs w:val="24"/>
      <w:lang w:eastAsia="en-US"/>
    </w:rPr>
  </w:style>
  <w:style w:styleId="1" w:type="paragraph">
    <w:name w:val="heading 1"/>
    <w:basedOn w:val="a1"/>
    <w:next w:val="a2"/>
    <w:link w:val="10"/>
    <w:uiPriority w:val="9"/>
    <w:qFormat/>
    <w:rsid w:val="00FC1DF5"/>
    <w:pPr>
      <w:spacing w:after="80" w:before="480"/>
      <w:outlineLvl w:val="0"/>
    </w:pPr>
    <w:rPr>
      <w:rFonts w:ascii="Arial" w:cs="Arial" w:eastAsia="Arial" w:hAnsi="Arial"/>
      <w:b/>
      <w:bCs/>
      <w:color w:themeColor="text1" w:val="000000"/>
      <w:sz w:val="44"/>
      <w:szCs w:val="40"/>
    </w:rPr>
  </w:style>
  <w:style w:styleId="21" w:type="paragraph">
    <w:name w:val="heading 2"/>
    <w:basedOn w:val="a1"/>
    <w:next w:val="a2"/>
    <w:link w:val="22"/>
    <w:uiPriority w:val="9"/>
    <w:semiHidden/>
    <w:unhideWhenUsed/>
    <w:qFormat/>
    <w:rsid w:val="00605308"/>
    <w:pPr>
      <w:spacing w:after="80" w:before="320" w:line="360" w:lineRule="auto"/>
      <w:outlineLvl w:val="1"/>
    </w:pPr>
    <w:rPr>
      <w:rFonts w:ascii="Arial" w:cs="Arial" w:eastAsia="Arial" w:hAnsi="Arial"/>
      <w:b/>
      <w:bCs/>
      <w:color w:themeColor="text1" w:val="000000"/>
      <w:sz w:val="32"/>
      <w:szCs w:val="32"/>
    </w:rPr>
  </w:style>
  <w:style w:styleId="3" w:type="paragraph">
    <w:name w:val="heading 3"/>
    <w:basedOn w:val="a1"/>
    <w:next w:val="a2"/>
    <w:link w:val="30"/>
    <w:uiPriority w:val="9"/>
    <w:semiHidden/>
    <w:unhideWhenUsed/>
    <w:qFormat/>
    <w:rsid w:val="00584C65"/>
    <w:pPr>
      <w:spacing w:after="40" w:before="100" w:line="360" w:lineRule="auto"/>
      <w:outlineLvl w:val="2"/>
    </w:pPr>
    <w:rPr>
      <w:rFonts w:ascii="Arial" w:cs="Arial" w:eastAsia="Arial" w:hAnsi="Arial"/>
      <w:b/>
      <w:bCs/>
      <w:color w:themeColor="text1" w:val="000000"/>
      <w:sz w:val="28"/>
      <w:szCs w:val="28"/>
    </w:rPr>
  </w:style>
  <w:style w:styleId="4" w:type="paragraph">
    <w:name w:val="heading 4"/>
    <w:basedOn w:val="a1"/>
    <w:next w:val="a2"/>
    <w:link w:val="40"/>
    <w:uiPriority w:val="9"/>
    <w:semiHidden/>
    <w:unhideWhenUsed/>
    <w:qFormat/>
    <w:pPr>
      <w:spacing w:after="40" w:before="80"/>
      <w:outlineLvl w:val="3"/>
    </w:pPr>
    <w:rPr>
      <w:rFonts w:ascii="Arial" w:cs="Arial" w:eastAsia="Arial" w:hAnsi="Arial"/>
      <w:b/>
      <w:color w:themeColor="text1" w:val="000000"/>
    </w:rPr>
  </w:style>
  <w:style w:styleId="5" w:type="paragraph">
    <w:name w:val="heading 5"/>
    <w:basedOn w:val="a1"/>
    <w:next w:val="a2"/>
    <w:link w:val="50"/>
    <w:uiPriority w:val="9"/>
    <w:semiHidden/>
    <w:unhideWhenUsed/>
    <w:qFormat/>
    <w:rsid w:val="00962302"/>
    <w:pPr>
      <w:spacing w:after="40" w:before="80"/>
      <w:outlineLvl w:val="4"/>
    </w:pPr>
    <w:rPr>
      <w:rFonts w:ascii="微软雅黑" w:cs="微软雅黑" w:eastAsia="Arial" w:hAnsi="微软雅黑"/>
      <w:color w:themeColor="text1" w:val="000000"/>
    </w:rPr>
  </w:style>
  <w:style w:styleId="6" w:type="paragraph">
    <w:name w:val="heading 6"/>
    <w:basedOn w:val="a1"/>
    <w:next w:val="a2"/>
    <w:link w:val="60"/>
    <w:uiPriority w:val="9"/>
    <w:semiHidden/>
    <w:unhideWhenUsed/>
    <w:qFormat/>
    <w:rsid w:val="00962302"/>
    <w:pPr>
      <w:spacing w:after="0" w:before="40"/>
      <w:outlineLvl w:val="5"/>
    </w:pPr>
    <w:rPr>
      <w:rFonts w:ascii="微软雅黑" w:cs="微软雅黑" w:eastAsia="Arial" w:hAnsi="微软雅黑"/>
      <w:color w:themeColor="text1" w:val="000000"/>
    </w:rPr>
  </w:style>
  <w:style w:styleId="7" w:type="paragraph">
    <w:name w:val="heading 7"/>
    <w:basedOn w:val="a1"/>
    <w:next w:val="a2"/>
    <w:link w:val="70"/>
    <w:uiPriority w:val="9"/>
    <w:semiHidden/>
    <w:unhideWhenUsed/>
    <w:qFormat/>
    <w:rsid w:val="00962302"/>
    <w:pPr>
      <w:spacing w:after="0" w:before="40"/>
      <w:outlineLvl w:val="6"/>
    </w:pPr>
    <w:rPr>
      <w:rFonts w:ascii="微软雅黑" w:cs="微软雅黑" w:eastAsia="Arial" w:hAnsi="微软雅黑"/>
      <w:color w:themeColor="text1" w:val="000000"/>
    </w:rPr>
  </w:style>
  <w:style w:styleId="8" w:type="paragraph">
    <w:name w:val="heading 8"/>
    <w:basedOn w:val="a1"/>
    <w:next w:val="a2"/>
    <w:link w:val="80"/>
    <w:uiPriority w:val="9"/>
    <w:semiHidden/>
    <w:unhideWhenUsed/>
    <w:qFormat/>
    <w:rsid w:val="00962302"/>
    <w:pPr>
      <w:spacing w:after="0"/>
      <w:outlineLvl w:val="7"/>
    </w:pPr>
    <w:rPr>
      <w:rFonts w:cstheme="majorBidi" w:eastAsia="Arial"/>
      <w:iCs/>
      <w:color w:themeColor="text1" w:val="000000"/>
    </w:rPr>
  </w:style>
  <w:style w:styleId="9" w:type="paragraph">
    <w:name w:val="heading 9"/>
    <w:basedOn w:val="a1"/>
    <w:next w:val="a2"/>
    <w:link w:val="90"/>
    <w:uiPriority w:val="9"/>
    <w:semiHidden/>
    <w:unhideWhenUsed/>
    <w:qFormat/>
    <w:pPr>
      <w:spacing w:after="0"/>
      <w:outlineLvl w:val="8"/>
    </w:pPr>
    <w:rPr>
      <w:rFonts w:cstheme="majorBidi" w:eastAsia="Arial"/>
      <w:color w:themeColor="text1" w:themeTint="D8" w:val="272727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qFormat/>
    <w:rsid w:val="00962302"/>
    <w:pPr>
      <w:spacing w:after="180" w:before="100"/>
    </w:pPr>
    <w:rPr>
      <w:rFonts w:ascii="Arial" w:cs="Arial" w:eastAsia="Arial" w:hAnsi="Arial"/>
      <w:color w:themeColor="text1" w:val="000000"/>
    </w:rPr>
  </w:style>
  <w:style w:styleId="2" w:type="paragraph">
    <w:name w:val="List Number 2"/>
    <w:basedOn w:val="a1"/>
    <w:pPr>
      <w:numPr>
        <w:numId w:val="1"/>
      </w:numPr>
      <w:contextualSpacing/>
    </w:pPr>
    <w:rPr>
      <w:rFonts w:ascii="Arial" w:cs="Arial" w:eastAsia="Arial" w:hAnsi="Arial"/>
    </w:rPr>
  </w:style>
  <w:style w:styleId="a" w:type="paragraph">
    <w:name w:val="List Number"/>
    <w:basedOn w:val="a1"/>
    <w:pPr>
      <w:numPr>
        <w:numId w:val="2"/>
      </w:numPr>
      <w:spacing w:line="360" w:lineRule="auto"/>
      <w:contextualSpacing/>
    </w:pPr>
    <w:rPr>
      <w:rFonts w:ascii="Arial" w:cs="Arial" w:eastAsia="Arial" w:hAnsi="Arial"/>
      <w:b/>
      <w:bCs/>
    </w:rPr>
  </w:style>
  <w:style w:styleId="a6" w:type="paragraph">
    <w:name w:val="caption"/>
    <w:basedOn w:val="a1"/>
    <w:link w:val="a7"/>
    <w:pPr>
      <w:spacing w:after="120"/>
    </w:pPr>
    <w:rPr>
      <w:i/>
    </w:rPr>
  </w:style>
  <w:style w:styleId="a0" w:type="paragraph">
    <w:name w:val="List Bullet"/>
    <w:basedOn w:val="a1"/>
    <w:rsid w:val="00A82518"/>
    <w:pPr>
      <w:numPr>
        <w:numId w:val="3"/>
      </w:numPr>
      <w:spacing w:before="200" w:line="360" w:lineRule="auto"/>
      <w:ind w:hanging="200" w:left="200"/>
      <w:contextualSpacing/>
    </w:pPr>
    <w:rPr>
      <w:rFonts w:ascii="Arial" w:cs="Arial" w:eastAsia="Arial" w:hAnsi="Arial"/>
      <w:b/>
      <w:bCs/>
    </w:rPr>
  </w:style>
  <w:style w:styleId="a8" w:type="paragraph">
    <w:name w:val="Block Text"/>
    <w:basedOn w:val="a2"/>
    <w:next w:val="a2"/>
    <w:uiPriority w:val="9"/>
    <w:unhideWhenUsed/>
    <w:qFormat/>
    <w:rsid w:val="00C94844"/>
    <w:pPr>
      <w:pBdr>
        <w:left w:color="D1D1D1" w:space="4" w:sz="24" w:themeColor="background2" w:themeShade="E6" w:val="single"/>
      </w:pBdr>
      <w:spacing w:after="100"/>
      <w:ind w:left="397" w:right="482"/>
    </w:pPr>
    <w:rPr>
      <w:color w:themeColor="background2" w:themeShade="80" w:val="747474"/>
    </w:rPr>
  </w:style>
  <w:style w:styleId="20" w:type="paragraph">
    <w:name w:val="List Bullet 2"/>
    <w:basedOn w:val="a1"/>
    <w:rsid w:val="00A82518"/>
    <w:pPr>
      <w:numPr>
        <w:numId w:val="4"/>
      </w:numPr>
      <w:spacing w:before="120" w:line="360" w:lineRule="auto"/>
      <w:ind w:hanging="200" w:left="400"/>
      <w:contextualSpacing/>
    </w:pPr>
    <w:rPr>
      <w:rFonts w:ascii="Arial" w:cs="Arial" w:eastAsia="Arial" w:hAnsi="Arial"/>
    </w:rPr>
  </w:style>
  <w:style w:styleId="a9" w:type="paragraph">
    <w:name w:val="Date"/>
    <w:next w:val="a2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styleId="aa" w:type="paragraph">
    <w:name w:val="Subtitle"/>
    <w:basedOn w:val="ab"/>
    <w:next w:val="a2"/>
    <w:link w:val="ac"/>
    <w:uiPriority w:val="11"/>
    <w:qFormat/>
    <w:rPr>
      <w:spacing w:val="15"/>
      <w:sz w:val="28"/>
      <w:szCs w:val="28"/>
    </w:rPr>
  </w:style>
  <w:style w:styleId="ab" w:type="paragraph">
    <w:name w:val="Title"/>
    <w:basedOn w:val="a1"/>
    <w:next w:val="a2"/>
    <w:link w:val="ad"/>
    <w:uiPriority w:val="10"/>
    <w:qFormat/>
    <w:pPr>
      <w:spacing w:after="80"/>
      <w:contextualSpacing/>
      <w:jc w:val="center"/>
    </w:pPr>
    <w:rPr>
      <w:rFonts w:ascii="Arial" w:cs="Arial" w:eastAsia="Arial" w:hAnsi="Arial"/>
      <w:spacing w:val="-10"/>
      <w:kern w:val="28"/>
      <w:sz w:val="56"/>
      <w:szCs w:val="56"/>
    </w:rPr>
  </w:style>
  <w:style w:styleId="ae" w:type="paragraph">
    <w:name w:val="footnote text"/>
    <w:basedOn w:val="a1"/>
    <w:uiPriority w:val="9"/>
    <w:unhideWhenUsed/>
    <w:qFormat/>
  </w:style>
  <w:style w:styleId="af" w:type="character">
    <w:name w:val="Hyperlink"/>
    <w:basedOn w:val="a3"/>
    <w:rsid w:val="00962302"/>
    <w:rPr>
      <w:b w:val="0"/>
      <w:i w:val="0"/>
      <w:color w:themeColor="text1" w:val="000000"/>
      <w:u w:val="none"/>
      <w:bdr w:color="auto" w:space="0" w:sz="0" w:val="none"/>
      <w:em w:val="none"/>
    </w:rPr>
  </w:style>
  <w:style w:customStyle="1" w:styleId="a7" w:type="character">
    <w:name w:val="题注 字符"/>
    <w:basedOn w:val="a3"/>
    <w:link w:val="a6"/>
  </w:style>
  <w:style w:styleId="af0" w:type="character">
    <w:name w:val="footnote reference"/>
    <w:basedOn w:val="a7"/>
    <w:rPr>
      <w:vertAlign w:val="superscript"/>
    </w:rPr>
  </w:style>
  <w:style w:customStyle="1" w:styleId="FirstParagraph" w:type="paragraph">
    <w:name w:val="First Paragraph"/>
    <w:basedOn w:val="a2"/>
    <w:next w:val="a2"/>
    <w:qFormat/>
    <w:rsid w:val="00962302"/>
    <w:pPr>
      <w:spacing w:before="240"/>
    </w:pPr>
  </w:style>
  <w:style w:customStyle="1" w:styleId="Compact" w:type="paragraph">
    <w:name w:val="Compact"/>
    <w:basedOn w:val="a2"/>
    <w:qFormat/>
    <w:pPr>
      <w:spacing w:after="36" w:before="36"/>
    </w:pPr>
  </w:style>
  <w:style w:customStyle="1" w:styleId="ad" w:type="character">
    <w:name w:val="标题 字符"/>
    <w:basedOn w:val="a3"/>
    <w:link w:val="ab"/>
    <w:uiPriority w:val="10"/>
    <w:rPr>
      <w:rFonts w:ascii="Arial" w:cs="Arial" w:eastAsia="Arial" w:hAnsi="Arial"/>
      <w:spacing w:val="-10"/>
      <w:kern w:val="28"/>
      <w:sz w:val="56"/>
      <w:szCs w:val="56"/>
    </w:rPr>
  </w:style>
  <w:style w:customStyle="1" w:styleId="ac" w:type="character">
    <w:name w:val="副标题 字符"/>
    <w:basedOn w:val="a3"/>
    <w:link w:val="aa"/>
    <w:uiPriority w:val="1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2"/>
    <w:qFormat/>
    <w:pPr>
      <w:spacing w:after="200"/>
      <w:jc w:val="center"/>
    </w:pPr>
    <w:rPr>
      <w:sz w:val="24"/>
      <w:szCs w:val="24"/>
      <w:lang w:eastAsia="en-US"/>
    </w:rPr>
  </w:style>
  <w:style w:customStyle="1" w:styleId="AbstractTitle" w:type="paragraph">
    <w:name w:val="Abstract Title"/>
    <w:basedOn w:val="a1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1"/>
    <w:next w:val="a2"/>
    <w:qFormat/>
    <w:pPr>
      <w:spacing w:after="300" w:before="100"/>
    </w:pPr>
    <w:rPr>
      <w:rFonts w:eastAsia="Arial"/>
      <w:sz w:val="20"/>
      <w:szCs w:val="20"/>
    </w:rPr>
  </w:style>
  <w:style w:customStyle="1" w:styleId="11" w:type="paragraph">
    <w:name w:val="书目1"/>
    <w:basedOn w:val="a1"/>
    <w:qFormat/>
  </w:style>
  <w:style w:customStyle="1" w:styleId="10" w:type="character">
    <w:name w:val="标题 1 字符"/>
    <w:basedOn w:val="a3"/>
    <w:link w:val="1"/>
    <w:uiPriority w:val="9"/>
    <w:rsid w:val="00FC1DF5"/>
    <w:rPr>
      <w:rFonts w:ascii="Arial" w:cs="Arial" w:eastAsia="Arial" w:hAnsi="Arial"/>
      <w:b/>
      <w:bCs/>
      <w:color w:themeColor="text1" w:val="000000"/>
      <w:sz w:val="44"/>
      <w:szCs w:val="40"/>
      <w:lang w:eastAsia="en-US"/>
    </w:rPr>
  </w:style>
  <w:style w:customStyle="1" w:styleId="22" w:type="character">
    <w:name w:val="标题 2 字符"/>
    <w:basedOn w:val="a3"/>
    <w:link w:val="21"/>
    <w:uiPriority w:val="9"/>
    <w:semiHidden/>
    <w:rsid w:val="00605308"/>
    <w:rPr>
      <w:rFonts w:ascii="Arial" w:cs="Arial" w:eastAsia="Arial" w:hAnsi="Arial"/>
      <w:b/>
      <w:bCs/>
      <w:color w:themeColor="text1" w:val="000000"/>
      <w:sz w:val="32"/>
      <w:szCs w:val="32"/>
      <w:lang w:eastAsia="en-US"/>
    </w:rPr>
  </w:style>
  <w:style w:customStyle="1" w:styleId="30" w:type="character">
    <w:name w:val="标题 3 字符"/>
    <w:basedOn w:val="a3"/>
    <w:link w:val="3"/>
    <w:uiPriority w:val="9"/>
    <w:semiHidden/>
    <w:rsid w:val="00584C65"/>
    <w:rPr>
      <w:rFonts w:ascii="Arial" w:cs="Arial" w:eastAsia="Arial" w:hAnsi="Arial"/>
      <w:b/>
      <w:bCs/>
      <w:color w:themeColor="text1" w:val="000000"/>
      <w:sz w:val="28"/>
      <w:szCs w:val="28"/>
      <w:lang w:eastAsia="en-US"/>
    </w:rPr>
  </w:style>
  <w:style w:customStyle="1" w:styleId="40" w:type="character">
    <w:name w:val="标题 4 字符"/>
    <w:basedOn w:val="a3"/>
    <w:link w:val="4"/>
    <w:uiPriority w:val="9"/>
    <w:semiHidden/>
    <w:rPr>
      <w:rFonts w:ascii="Arial" w:cs="Arial" w:eastAsia="Arial" w:hAnsi="Arial"/>
      <w:b/>
      <w:color w:themeColor="text1" w:val="000000"/>
      <w:sz w:val="24"/>
      <w:szCs w:val="24"/>
      <w:lang w:eastAsia="en-US"/>
    </w:rPr>
  </w:style>
  <w:style w:customStyle="1" w:styleId="50" w:type="character">
    <w:name w:val="标题 5 字符"/>
    <w:basedOn w:val="a3"/>
    <w:link w:val="5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60" w:type="character">
    <w:name w:val="标题 6 字符"/>
    <w:basedOn w:val="a3"/>
    <w:link w:val="6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70" w:type="character">
    <w:name w:val="标题 7 字符"/>
    <w:basedOn w:val="a3"/>
    <w:link w:val="7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80" w:type="character">
    <w:name w:val="标题 8 字符"/>
    <w:basedOn w:val="a3"/>
    <w:link w:val="8"/>
    <w:uiPriority w:val="9"/>
    <w:semiHidden/>
    <w:rsid w:val="00962302"/>
    <w:rPr>
      <w:rFonts w:cstheme="majorBidi" w:eastAsia="Arial"/>
      <w:iCs/>
      <w:color w:themeColor="text1" w:val="000000"/>
      <w:sz w:val="24"/>
      <w:szCs w:val="24"/>
      <w:lang w:eastAsia="en-US"/>
    </w:rPr>
  </w:style>
  <w:style w:customStyle="1" w:styleId="90" w:type="character">
    <w:name w:val="标题 9 字符"/>
    <w:basedOn w:val="a3"/>
    <w:link w:val="9"/>
    <w:uiPriority w:val="9"/>
    <w:semiHidden/>
    <w:rPr>
      <w:rFonts w:cstheme="majorBidi" w:eastAsia="Arial"/>
      <w:color w:themeColor="text1" w:themeTint="D8" w:val="272727"/>
      <w:sz w:val="24"/>
      <w:szCs w:val="24"/>
      <w:lang w:eastAsia="en-US"/>
    </w:rPr>
  </w:style>
  <w:style w:customStyle="1" w:styleId="FootnoteBlockText" w:type="paragraph">
    <w:name w:val="Footnote Block Text"/>
    <w:basedOn w:val="ae"/>
    <w:next w:val="a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pPr>
      <w:spacing w:after="0"/>
    </w:pPr>
    <w:rPr>
      <w:rFonts w:eastAsia="Arial"/>
    </w:rPr>
  </w:style>
  <w:style w:customStyle="1" w:styleId="Definition" w:type="paragraph">
    <w:name w:val="Definition"/>
    <w:basedOn w:val="a1"/>
    <w:rsid w:val="00962302"/>
    <w:rPr>
      <w:color w:themeColor="text1" w:val="000000"/>
    </w:rPr>
  </w:style>
  <w:style w:customStyle="1" w:styleId="TableCaption" w:type="paragraph">
    <w:name w:val="Table Caption"/>
    <w:basedOn w:val="a6"/>
  </w:style>
  <w:style w:customStyle="1" w:styleId="ImageCaption" w:type="paragraph">
    <w:name w:val="Image Caption"/>
    <w:basedOn w:val="a6"/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a7"/>
    <w:link w:val="SourceCode"/>
    <w:rsid w:val="00FE2A30"/>
    <w:rPr>
      <w:rFonts w:ascii="Consolas" w:cs="Times New Roman (正文 CS 字体)" w:eastAsia="Arial" w:hAnsi="Consolas"/>
      <w:sz w:val="22"/>
      <w:shd w:color="auto" w:fill="F2F2F2" w:themeFill="background1" w:themeFillShade="F2" w:val="clear"/>
    </w:rPr>
  </w:style>
  <w:style w:customStyle="1" w:styleId="SectionNumber" w:type="character">
    <w:name w:val="Section Number"/>
    <w:basedOn w:val="a7"/>
  </w:style>
  <w:style w:customStyle="1" w:styleId="TOC1" w:type="paragraph">
    <w:name w:val="TOC 标题1"/>
    <w:basedOn w:val="1"/>
    <w:next w:val="a2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SourceCode" w:type="paragraph">
    <w:name w:val="Source Code"/>
    <w:link w:val="VerbatimChar"/>
    <w:rsid w:val="00FE2A30"/>
    <w:pPr>
      <w:shd w:color="auto" w:fill="F2F2F2" w:themeFill="background1" w:themeFillShade="F2" w:val="clear"/>
      <w:wordWrap w:val="0"/>
      <w:spacing w:after="100" w:afterLines="100" w:before="100" w:beforeLines="100"/>
    </w:pPr>
    <w:rPr>
      <w:rFonts w:ascii="Consolas" w:cs="Times New Roman (正文 CS 字体)" w:eastAsia="Arial" w:hAnsi="Consolas"/>
      <w:sz w:val="22"/>
    </w:rPr>
  </w:style>
  <w:style w:styleId="af1" w:type="character">
    <w:name w:val="FollowedHyperlink"/>
    <w:basedOn w:val="a3"/>
    <w:rsid w:val="0011788E"/>
    <w:rPr>
      <w:color w:themeColor="followedHyperlink" w:val="96607D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jpg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2026-04-27T21:58:21Z</dcterms:created>
  <dcterms:modified xsi:type="dcterms:W3CDTF">2026-04-27T21:58:21Z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