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习近平总书记</w:t>
      </w:r>
      <w:r>
        <w:rPr>
          <w:rtl w:val="0"/>
        </w:rPr>
        <w:t>在湖北考察时强调，发展现代农业，建设农业强国，必须依靠科技进步，让科技为农业现代化插上腾飞的翅膀。作为指导老师，我对《智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护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  <w:lang w:val="ja-JP" w:eastAsia="ja-JP"/>
        </w:rPr>
        <w:t>田野</w:t>
      </w: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  <w:r>
        <w:rPr>
          <w:rtl w:val="0"/>
        </w:rPr>
        <w:t>基于</w:t>
      </w:r>
      <w:r>
        <w:rPr>
          <w:rFonts w:ascii="PingFang SC Regular" w:hAnsi="PingFang SC Regular" w:eastAsia="Arial Unicode MS"/>
          <w:rtl w:val="0"/>
          <w:lang w:val="de-DE"/>
        </w:rPr>
        <w:t>CNN</w:t>
      </w:r>
      <w:r>
        <w:rPr>
          <w:rtl w:val="0"/>
        </w:rPr>
        <w:t>的农作物病虫害识别与预警系统》这一作品深感自豪。该作品充分体现了</w:t>
      </w:r>
      <w:r>
        <w:rPr>
          <w:rtl w:val="0"/>
        </w:rPr>
        <w:t>我们</w:t>
      </w:r>
      <w:r>
        <w:rPr>
          <w:rtl w:val="0"/>
        </w:rPr>
        <w:t>团队成员在技术创新、实践能力与社会责任感上的卓越表现</w:t>
      </w:r>
      <w:r>
        <w:rPr>
          <w:rtl w:val="0"/>
        </w:rPr>
        <w:t>，是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科技助农促振兴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的一份好答卷。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第一，创新性与技术先进性并重。作品以深度学习为核心，创造性地将</w:t>
      </w:r>
      <w:r>
        <w:rPr>
          <w:rFonts w:ascii="PingFang SC Regular" w:hAnsi="PingFang SC Regular" w:eastAsia="Arial Unicode MS"/>
          <w:rtl w:val="0"/>
        </w:rPr>
        <w:t>ResNet50</w:t>
      </w:r>
      <w:r>
        <w:rPr>
          <w:rtl w:val="0"/>
        </w:rPr>
        <w:t>残差网络与迁移学习策略结合，针对国内农业场景中光照不均、遮挡频繁等复杂环境进行优化，通过</w:t>
      </w:r>
      <w:r>
        <w:rPr>
          <w:rFonts w:ascii="PingFang SC Regular" w:hAnsi="PingFang SC Regular" w:eastAsia="Arial Unicode MS"/>
          <w:rtl w:val="0"/>
        </w:rPr>
        <w:t>AI Challenger</w:t>
      </w:r>
      <w:r>
        <w:rPr>
          <w:rtl w:val="0"/>
        </w:rPr>
        <w:t>数据集的</w:t>
      </w:r>
      <w:r>
        <w:rPr>
          <w:rFonts w:ascii="PingFang SC Regular" w:hAnsi="PingFang SC Regular" w:eastAsia="Arial Unicode MS"/>
          <w:rtl w:val="0"/>
        </w:rPr>
        <w:t>3.1</w:t>
      </w:r>
      <w:r>
        <w:rPr>
          <w:rtl w:val="0"/>
        </w:rPr>
        <w:t>万张图像训练，实现了</w:t>
      </w:r>
      <w:r>
        <w:rPr>
          <w:rFonts w:ascii="PingFang SC Regular" w:hAnsi="PingFang SC Regular" w:eastAsia="Arial Unicode MS"/>
          <w:rtl w:val="0"/>
        </w:rPr>
        <w:t>85%</w:t>
      </w:r>
      <w:r>
        <w:rPr>
          <w:rtl w:val="0"/>
        </w:rPr>
        <w:t>的田间识别准确率，显著优于</w:t>
      </w:r>
      <w:r>
        <w:rPr>
          <w:rFonts w:ascii="PingFang SC Regular" w:hAnsi="PingFang SC Regular" w:eastAsia="Arial Unicode MS"/>
          <w:rtl w:val="0"/>
          <w:lang w:val="fr-FR"/>
        </w:rPr>
        <w:t>Plantix</w:t>
      </w:r>
      <w:r>
        <w:rPr>
          <w:rtl w:val="0"/>
        </w:rPr>
        <w:t>等国际工具。技术层面，团队不仅攻克了模型轻量化部署（支持每秒</w:t>
      </w:r>
      <w:r>
        <w:rPr>
          <w:rFonts w:ascii="PingFang SC Regular" w:hAnsi="PingFang SC Regular" w:eastAsia="Arial Unicode MS"/>
          <w:rtl w:val="0"/>
        </w:rPr>
        <w:t>20</w:t>
      </w:r>
      <w:r>
        <w:rPr>
          <w:rtl w:val="0"/>
        </w:rPr>
        <w:t>次并发请求），还创新性地将知识库检索、社区互动与病害预警功能深度融合，构建了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识别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查询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预警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决策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的闭环服务体系。尤其是基于时序分析与气象数据融合的预警模块，展现了从单一功能向系统化生态演进的前瞻性思维，体现了技术落地的深度与广度。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第二，团队协作与攻坚精神突出。面对农业场景的技术适配难题，团队成员展现了极强的执行力与创造力。在模型优化阶段，他们通过多轮数据增强实验与混合损失函数设计，显著提升了算法鲁棒性；在系统开发中，攻克了多模块协同（如实时识别与异步数据处理）的技术瓶颈，并通过边缘计算框架移植实现低配置设备的高效运行。更令人赞赏的是，团队深入田间地头，与多地农业合作社合作试点，基于实际用户反馈迭代功能，例如新增语音播报与历史追溯模块，真正做到了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从实践中来，到实践中去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。这种将技术理想与用户需求紧密结合的态度，是项目成功的关键。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第三，</w:t>
      </w:r>
      <w:r>
        <w:rPr>
          <w:rtl w:val="0"/>
        </w:rPr>
        <w:t>应用潜力与社会价值显著。作品不仅具备技术高度，更展现了推动农业现代化的实际价值。试点应用中，系统帮助农户减少农药滥用</w:t>
      </w:r>
      <w:r>
        <w:rPr>
          <w:rFonts w:ascii="PingFang SC Regular" w:hAnsi="PingFang SC Regular" w:eastAsia="Arial Unicode MS"/>
          <w:rtl w:val="0"/>
        </w:rPr>
        <w:t>30%</w:t>
      </w:r>
      <w:r>
        <w:rPr>
          <w:rtl w:val="0"/>
          <w:lang w:val="zh-TW" w:eastAsia="zh-TW"/>
        </w:rPr>
        <w:t>以上，提升防治效率</w:t>
      </w:r>
      <w:r>
        <w:rPr>
          <w:rFonts w:ascii="PingFang SC Regular" w:hAnsi="PingFang SC Regular" w:eastAsia="Arial Unicode MS"/>
          <w:rtl w:val="0"/>
        </w:rPr>
        <w:t>40%</w:t>
      </w:r>
      <w:r>
        <w:rPr>
          <w:rtl w:val="0"/>
        </w:rPr>
        <w:t>，直接降低了生产成本与环境污染风险。未来规划中，团队提出的物联网设备联动、</w:t>
      </w:r>
      <w:r>
        <w:rPr>
          <w:rFonts w:ascii="PingFang SC Regular" w:hAnsi="PingFang SC Regular" w:eastAsia="Arial Unicode MS"/>
          <w:rtl w:val="0"/>
        </w:rPr>
        <w:t>AR</w:t>
      </w:r>
      <w:r>
        <w:rPr>
          <w:rtl w:val="0"/>
        </w:rPr>
        <w:t>远程诊断与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空天地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监测网络构想，契合智慧农业发展趋势，有望成为乡村振兴的科技引擎。此外，商业模式上探索的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识别服务</w:t>
      </w:r>
      <w:r>
        <w:rPr>
          <w:rFonts w:ascii="PingFang SC Regular" w:hAnsi="PingFang SC Regular" w:eastAsia="Arial Unicode MS"/>
          <w:rtl w:val="0"/>
        </w:rPr>
        <w:t>+</w:t>
      </w:r>
      <w:r>
        <w:rPr>
          <w:rtl w:val="0"/>
        </w:rPr>
        <w:t>农资推荐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模式，为技术成果的可持续转化提供了可行路径，展现了团队对社会需求的敏锐洞察与商业化思维的初步成熟。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综上所述，这一作品不仅是技术创新的一次成功实践，更是产学研结合的典范。它证明了青年学子完全有能力以科技之力回应社会重大关切，期待团队在未来持续深耕，将这一系统打造为中国智慧农业的标杆解决方案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