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286F" w14:textId="773341C0" w:rsidR="0010032B" w:rsidRPr="00631831" w:rsidRDefault="0010032B" w:rsidP="00D27F7C">
      <w:pPr>
        <w:jc w:val="center"/>
        <w:rPr>
          <w:rFonts w:ascii="Century Gothic" w:hAnsi="Century Gothic"/>
          <w:sz w:val="24"/>
          <w:szCs w:val="24"/>
          <w:lang w:val="en-US"/>
        </w:rPr>
      </w:pPr>
      <w:r w:rsidRPr="00631831"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 wp14:anchorId="124DA977" wp14:editId="486AFB1E">
            <wp:extent cx="2856451" cy="9982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77" cy="100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2D72" w14:textId="77777777" w:rsidR="0010032B" w:rsidRDefault="0010032B" w:rsidP="00D27F7C">
      <w:pPr>
        <w:jc w:val="both"/>
        <w:rPr>
          <w:rFonts w:ascii="Century Gothic" w:hAnsi="Century Gothic" w:cs="Arial"/>
          <w:b/>
          <w:bCs/>
          <w:sz w:val="40"/>
          <w:szCs w:val="40"/>
          <w:lang w:val="en-US"/>
        </w:rPr>
      </w:pPr>
    </w:p>
    <w:p w14:paraId="54690B73" w14:textId="77777777" w:rsidR="005203DA" w:rsidRPr="004C3B15" w:rsidRDefault="005203DA" w:rsidP="005203DA">
      <w:pPr>
        <w:spacing w:before="100" w:beforeAutospacing="1" w:after="100" w:afterAutospacing="1" w:line="240" w:lineRule="auto"/>
        <w:outlineLvl w:val="1"/>
        <w:rPr>
          <w:rFonts w:ascii="Calibri" w:eastAsia="Calibri" w:hAnsi="Calibri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4C3B15">
        <w:rPr>
          <w:rFonts w:ascii="Calibri" w:eastAsia="Calibri" w:hAnsi="Calibri" w:cs="Times New Roman"/>
          <w:b/>
          <w:bCs/>
          <w:kern w:val="0"/>
          <w:sz w:val="32"/>
          <w:szCs w:val="32"/>
          <w:lang w:val="en-US"/>
          <w14:ligatures w14:val="none"/>
        </w:rPr>
        <w:t>Malware Incident Response Standard Operating Procedure (SOP)</w:t>
      </w:r>
    </w:p>
    <w:p w14:paraId="141538D8" w14:textId="77777777" w:rsidR="005203DA" w:rsidRDefault="005203DA" w:rsidP="00D27F7C">
      <w:pPr>
        <w:pStyle w:val="NoSpacing"/>
        <w:spacing w:line="360" w:lineRule="auto"/>
        <w:jc w:val="center"/>
        <w:rPr>
          <w:b/>
          <w:bCs/>
          <w:sz w:val="32"/>
          <w:szCs w:val="32"/>
        </w:rPr>
      </w:pPr>
    </w:p>
    <w:p w14:paraId="5CAB7D6C" w14:textId="75900E3B" w:rsidR="0010032B" w:rsidRDefault="005203DA" w:rsidP="00D27F7C">
      <w:pPr>
        <w:pStyle w:val="NoSpacing"/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JUNE</w:t>
      </w:r>
      <w:r w:rsidR="0010032B" w:rsidRPr="000B7AA6">
        <w:rPr>
          <w:rFonts w:asciiTheme="minorHAnsi" w:hAnsiTheme="minorHAnsi" w:cstheme="minorHAnsi"/>
          <w:sz w:val="24"/>
          <w:szCs w:val="24"/>
        </w:rPr>
        <w:t xml:space="preserve"> 202</w:t>
      </w:r>
      <w:r w:rsidR="007004B2">
        <w:rPr>
          <w:rFonts w:asciiTheme="minorHAnsi" w:hAnsiTheme="minorHAnsi" w:cstheme="minorHAnsi"/>
          <w:sz w:val="24"/>
          <w:szCs w:val="24"/>
        </w:rPr>
        <w:t>5</w:t>
      </w:r>
    </w:p>
    <w:p w14:paraId="1B07AEAE" w14:textId="77777777" w:rsidR="00D27F7C" w:rsidRPr="000B7AA6" w:rsidRDefault="00D27F7C" w:rsidP="00D27F7C">
      <w:pPr>
        <w:pStyle w:val="NoSpacing"/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9F773DF" w14:textId="77777777" w:rsidR="0010032B" w:rsidRDefault="0010032B" w:rsidP="00D27F7C">
      <w:pPr>
        <w:spacing w:line="278" w:lineRule="auto"/>
        <w:jc w:val="center"/>
        <w:outlineLvl w:val="0"/>
        <w:rPr>
          <w:rFonts w:cstheme="minorHAnsi"/>
          <w:sz w:val="24"/>
          <w:szCs w:val="24"/>
        </w:rPr>
      </w:pPr>
    </w:p>
    <w:p w14:paraId="65251178" w14:textId="1359CDA7" w:rsidR="0010032B" w:rsidRDefault="0010032B" w:rsidP="00D27F7C">
      <w:pPr>
        <w:spacing w:line="278" w:lineRule="auto"/>
        <w:jc w:val="center"/>
        <w:outlineLvl w:val="0"/>
        <w:rPr>
          <w:rFonts w:cstheme="minorHAnsi"/>
          <w:sz w:val="24"/>
          <w:szCs w:val="24"/>
        </w:rPr>
      </w:pPr>
      <w:r w:rsidRPr="005367A4">
        <w:rPr>
          <w:rFonts w:cstheme="minorHAnsi"/>
          <w:sz w:val="24"/>
          <w:szCs w:val="24"/>
          <w:highlight w:val="yellow"/>
        </w:rPr>
        <w:t>DOC POLICY NO:</w:t>
      </w:r>
    </w:p>
    <w:p w14:paraId="749F69BF" w14:textId="77777777" w:rsidR="00D27F7C" w:rsidRPr="00C67146" w:rsidRDefault="00D27F7C" w:rsidP="00D27F7C">
      <w:pPr>
        <w:spacing w:line="278" w:lineRule="auto"/>
        <w:jc w:val="center"/>
        <w:outlineLvl w:val="0"/>
        <w:rPr>
          <w:rFonts w:cstheme="minorHAnsi"/>
          <w:sz w:val="24"/>
          <w:szCs w:val="24"/>
        </w:rPr>
      </w:pPr>
    </w:p>
    <w:p w14:paraId="5A1C122B" w14:textId="77777777" w:rsidR="0010032B" w:rsidRPr="00492D57" w:rsidRDefault="0010032B" w:rsidP="00D27F7C">
      <w:pPr>
        <w:spacing w:line="278" w:lineRule="auto"/>
        <w:jc w:val="center"/>
        <w:outlineLvl w:val="0"/>
        <w:rPr>
          <w:rFonts w:cstheme="minorHAnsi"/>
          <w:sz w:val="24"/>
          <w:szCs w:val="24"/>
        </w:rPr>
      </w:pPr>
      <w:r w:rsidRPr="00492D57">
        <w:rPr>
          <w:rFonts w:cstheme="minorHAnsi"/>
          <w:sz w:val="24"/>
          <w:szCs w:val="24"/>
        </w:rPr>
        <w:t>-----------------------------------------</w:t>
      </w:r>
    </w:p>
    <w:p w14:paraId="01F1D2D7" w14:textId="77777777" w:rsidR="0010032B" w:rsidRPr="00492D57" w:rsidRDefault="0010032B" w:rsidP="00D27F7C">
      <w:pPr>
        <w:spacing w:line="278" w:lineRule="auto"/>
        <w:jc w:val="center"/>
        <w:outlineLvl w:val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Develop</w:t>
      </w:r>
      <w:r w:rsidRPr="00492D57">
        <w:rPr>
          <w:rFonts w:cstheme="minorHAnsi"/>
          <w:b/>
          <w:sz w:val="24"/>
          <w:szCs w:val="24"/>
        </w:rPr>
        <w:t>ed By</w:t>
      </w:r>
    </w:p>
    <w:p w14:paraId="35324611" w14:textId="77777777" w:rsidR="0010032B" w:rsidRPr="00492D57" w:rsidRDefault="0010032B" w:rsidP="00D27F7C">
      <w:pPr>
        <w:spacing w:line="278" w:lineRule="auto"/>
        <w:jc w:val="center"/>
        <w:outlineLvl w:val="0"/>
        <w:rPr>
          <w:rFonts w:cstheme="minorHAnsi"/>
          <w:sz w:val="24"/>
          <w:szCs w:val="24"/>
        </w:rPr>
      </w:pPr>
      <w:r w:rsidRPr="00492D57">
        <w:rPr>
          <w:rFonts w:cstheme="minorHAnsi"/>
          <w:sz w:val="24"/>
          <w:szCs w:val="24"/>
        </w:rPr>
        <w:t>----------------------------------------</w:t>
      </w:r>
    </w:p>
    <w:p w14:paraId="18DB146B" w14:textId="30DD54A5" w:rsidR="0010032B" w:rsidRPr="00CA7786" w:rsidRDefault="0010032B" w:rsidP="00D27F7C">
      <w:pPr>
        <w:pBdr>
          <w:bottom w:val="single" w:sz="6" w:space="0" w:color="auto"/>
        </w:pBdr>
        <w:spacing w:line="278" w:lineRule="auto"/>
        <w:jc w:val="center"/>
        <w:outlineLvl w:val="0"/>
        <w:rPr>
          <w:rFonts w:cstheme="minorHAnsi"/>
          <w:b/>
        </w:rPr>
      </w:pPr>
      <w:r w:rsidRPr="00CA7786">
        <w:rPr>
          <w:rFonts w:cstheme="minorHAnsi"/>
          <w:b/>
        </w:rPr>
        <w:t>Assistant General Manager, Information Technology and Security Compliance</w:t>
      </w:r>
    </w:p>
    <w:p w14:paraId="5C528CFB" w14:textId="77777777" w:rsidR="0010032B" w:rsidRPr="0010032B" w:rsidRDefault="0010032B" w:rsidP="00D27F7C">
      <w:pPr>
        <w:pBdr>
          <w:bottom w:val="single" w:sz="6" w:space="0" w:color="auto"/>
        </w:pBdr>
        <w:spacing w:line="278" w:lineRule="auto"/>
        <w:jc w:val="both"/>
        <w:outlineLvl w:val="0"/>
        <w:rPr>
          <w:rFonts w:cstheme="minorHAnsi"/>
          <w:b/>
        </w:rPr>
      </w:pPr>
    </w:p>
    <w:p w14:paraId="27AB11F5" w14:textId="77777777" w:rsidR="0010032B" w:rsidRDefault="0010032B" w:rsidP="00D27F7C">
      <w:pPr>
        <w:pBdr>
          <w:bottom w:val="single" w:sz="6" w:space="0" w:color="auto"/>
        </w:pBdr>
        <w:spacing w:line="278" w:lineRule="auto"/>
        <w:jc w:val="both"/>
        <w:outlineLvl w:val="0"/>
        <w:rPr>
          <w:rFonts w:cstheme="minorHAnsi"/>
          <w:sz w:val="24"/>
          <w:szCs w:val="24"/>
        </w:rPr>
      </w:pPr>
    </w:p>
    <w:p w14:paraId="68DCA99C" w14:textId="77777777" w:rsidR="0010032B" w:rsidRDefault="0010032B" w:rsidP="00D27F7C">
      <w:pPr>
        <w:tabs>
          <w:tab w:val="left" w:pos="0"/>
        </w:tabs>
        <w:spacing w:after="0" w:line="278" w:lineRule="auto"/>
        <w:jc w:val="both"/>
        <w:rPr>
          <w:rFonts w:cs="Calibri"/>
          <w:b/>
          <w:bCs/>
          <w:lang w:val="en-ZA"/>
        </w:rPr>
      </w:pPr>
      <w:r>
        <w:rPr>
          <w:rFonts w:cs="Calibri"/>
          <w:b/>
          <w:bCs/>
          <w:lang w:val="en-ZA"/>
        </w:rPr>
        <w:tab/>
      </w:r>
      <w:r>
        <w:rPr>
          <w:rFonts w:cs="Calibri"/>
          <w:b/>
          <w:bCs/>
          <w:lang w:val="en-ZA"/>
        </w:rPr>
        <w:tab/>
      </w:r>
      <w:r>
        <w:rPr>
          <w:rFonts w:cs="Calibri"/>
          <w:b/>
          <w:bCs/>
          <w:lang w:val="en-ZA"/>
        </w:rPr>
        <w:tab/>
      </w:r>
      <w:r>
        <w:rPr>
          <w:rFonts w:cs="Calibri"/>
          <w:b/>
          <w:bCs/>
          <w:lang w:val="en-ZA"/>
        </w:rPr>
        <w:tab/>
      </w:r>
      <w:r>
        <w:rPr>
          <w:rFonts w:cs="Calibri"/>
          <w:b/>
          <w:bCs/>
          <w:lang w:val="en-ZA"/>
        </w:rPr>
        <w:tab/>
      </w:r>
    </w:p>
    <w:p w14:paraId="3C88E623" w14:textId="77777777" w:rsidR="004B2BCB" w:rsidRDefault="0010032B" w:rsidP="00D27F7C">
      <w:pPr>
        <w:tabs>
          <w:tab w:val="left" w:pos="0"/>
        </w:tabs>
        <w:spacing w:after="0" w:line="278" w:lineRule="auto"/>
        <w:jc w:val="both"/>
        <w:rPr>
          <w:rFonts w:cs="Calibri"/>
          <w:b/>
          <w:bCs/>
          <w:lang w:val="en-ZA"/>
        </w:rPr>
      </w:pPr>
      <w:r>
        <w:rPr>
          <w:rFonts w:cs="Calibri"/>
          <w:b/>
          <w:bCs/>
          <w:lang w:val="en-ZA"/>
        </w:rPr>
        <w:tab/>
      </w:r>
      <w:r>
        <w:rPr>
          <w:rFonts w:cs="Calibri"/>
          <w:b/>
          <w:bCs/>
          <w:lang w:val="en-ZA"/>
        </w:rPr>
        <w:tab/>
      </w:r>
      <w:r>
        <w:rPr>
          <w:rFonts w:cs="Calibri"/>
          <w:b/>
          <w:bCs/>
          <w:lang w:val="en-ZA"/>
        </w:rPr>
        <w:tab/>
      </w:r>
      <w:r>
        <w:rPr>
          <w:rFonts w:cs="Calibri"/>
          <w:b/>
          <w:bCs/>
          <w:lang w:val="en-ZA"/>
        </w:rPr>
        <w:tab/>
        <w:t xml:space="preserve">        </w:t>
      </w:r>
    </w:p>
    <w:p w14:paraId="515C009B" w14:textId="77777777" w:rsidR="004B2BCB" w:rsidRDefault="004B2BCB" w:rsidP="00D27F7C">
      <w:pPr>
        <w:tabs>
          <w:tab w:val="left" w:pos="0"/>
        </w:tabs>
        <w:spacing w:after="0" w:line="278" w:lineRule="auto"/>
        <w:jc w:val="both"/>
        <w:rPr>
          <w:rFonts w:cs="Calibri"/>
          <w:b/>
          <w:bCs/>
          <w:lang w:val="en-ZA"/>
        </w:rPr>
      </w:pPr>
    </w:p>
    <w:p w14:paraId="4F4991E9" w14:textId="4A0DAA31" w:rsidR="00DF5E3C" w:rsidRDefault="00DF5E3C">
      <w:pPr>
        <w:spacing w:line="278" w:lineRule="auto"/>
        <w:rPr>
          <w:rFonts w:ascii="Century Gothic" w:hAnsi="Century Gothic" w:cs="Arial"/>
          <w:b/>
          <w:bCs/>
          <w:sz w:val="40"/>
          <w:szCs w:val="40"/>
          <w:lang w:val="en-NG"/>
        </w:rPr>
      </w:pPr>
      <w:r>
        <w:rPr>
          <w:rFonts w:ascii="Century Gothic" w:hAnsi="Century Gothic" w:cs="Arial"/>
          <w:b/>
          <w:bCs/>
          <w:sz w:val="40"/>
          <w:szCs w:val="40"/>
          <w:lang w:val="en-NG"/>
        </w:rPr>
        <w:br w:type="page"/>
      </w:r>
    </w:p>
    <w:p w14:paraId="2609E150" w14:textId="77777777" w:rsidR="0084786C" w:rsidRDefault="0084786C" w:rsidP="00D27F7C">
      <w:pPr>
        <w:pStyle w:val="TOCHeading"/>
        <w:spacing w:line="276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28EF2C94" w14:textId="77777777" w:rsidR="0084786C" w:rsidRDefault="0084786C" w:rsidP="00D27F7C">
      <w:pPr>
        <w:pStyle w:val="TOCHeading"/>
        <w:spacing w:line="276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50E0450C" w14:textId="64158729" w:rsidR="0010032B" w:rsidRDefault="0010032B" w:rsidP="00D27F7C">
      <w:pPr>
        <w:pStyle w:val="TOCHeading"/>
        <w:spacing w:line="276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4B61BC">
        <w:rPr>
          <w:rFonts w:asciiTheme="minorHAnsi" w:hAnsiTheme="minorHAnsi" w:cstheme="minorHAnsi"/>
          <w:b/>
          <w:bCs/>
          <w:color w:val="auto"/>
          <w:sz w:val="22"/>
          <w:szCs w:val="22"/>
        </w:rPr>
        <w:t>Table of Contents</w:t>
      </w:r>
    </w:p>
    <w:p w14:paraId="06AFEBC5" w14:textId="77777777" w:rsidR="00521CE6" w:rsidRPr="00521CE6" w:rsidRDefault="00521CE6" w:rsidP="00521CE6">
      <w:pPr>
        <w:rPr>
          <w:lang w:val="en-US"/>
        </w:rPr>
      </w:pPr>
    </w:p>
    <w:p w14:paraId="2C4557DA" w14:textId="43E97B59" w:rsidR="0010032B" w:rsidRPr="004467FC" w:rsidRDefault="0010032B" w:rsidP="00386D2A">
      <w:pPr>
        <w:pStyle w:val="TOC3"/>
        <w:numPr>
          <w:ilvl w:val="0"/>
          <w:numId w:val="1"/>
        </w:numPr>
        <w:ind w:left="540" w:hanging="540"/>
        <w:jc w:val="both"/>
      </w:pPr>
      <w:r w:rsidRPr="004467FC">
        <w:t>Purpose</w:t>
      </w:r>
      <w:r w:rsidRPr="004467FC">
        <w:ptab w:relativeTo="margin" w:alignment="right" w:leader="dot"/>
      </w:r>
      <w:r w:rsidRPr="004467FC">
        <w:t>3</w:t>
      </w:r>
    </w:p>
    <w:p w14:paraId="7B481D7C" w14:textId="664E0EFD" w:rsidR="0010032B" w:rsidRPr="004467FC" w:rsidRDefault="005529C7" w:rsidP="00D27F7C">
      <w:pPr>
        <w:pStyle w:val="TOC2"/>
        <w:ind w:left="540" w:hanging="540"/>
      </w:pPr>
      <w:r>
        <w:t>Scope</w:t>
      </w:r>
      <w:r w:rsidR="0010032B" w:rsidRPr="004467FC">
        <w:t xml:space="preserve"> </w:t>
      </w:r>
      <w:r w:rsidR="0010032B" w:rsidRPr="004467FC">
        <w:ptab w:relativeTo="margin" w:alignment="right" w:leader="dot"/>
      </w:r>
      <w:r w:rsidR="0010032B" w:rsidRPr="004467FC">
        <w:t>3</w:t>
      </w:r>
    </w:p>
    <w:p w14:paraId="68315697" w14:textId="39ABD9CE" w:rsidR="0010032B" w:rsidRPr="00D27F7C" w:rsidRDefault="005529C7" w:rsidP="00386D2A">
      <w:pPr>
        <w:pStyle w:val="TOC3"/>
        <w:numPr>
          <w:ilvl w:val="0"/>
          <w:numId w:val="1"/>
        </w:numPr>
        <w:ind w:left="540" w:hanging="540"/>
        <w:jc w:val="both"/>
      </w:pPr>
      <w:r>
        <w:rPr>
          <w:lang w:val="en-NG"/>
        </w:rPr>
        <w:t>Roles and Responsibilities</w:t>
      </w:r>
      <w:r w:rsidR="00D27F7C" w:rsidRPr="00D27F7C">
        <w:t xml:space="preserve"> </w:t>
      </w:r>
      <w:r w:rsidR="0010032B" w:rsidRPr="00D27F7C">
        <w:ptab w:relativeTo="margin" w:alignment="right" w:leader="dot"/>
      </w:r>
      <w:r>
        <w:t>3</w:t>
      </w:r>
    </w:p>
    <w:p w14:paraId="47D3D3BE" w14:textId="47B3B52B" w:rsidR="0010032B" w:rsidRDefault="00243023" w:rsidP="00386D2A">
      <w:pPr>
        <w:pStyle w:val="TOC3"/>
        <w:numPr>
          <w:ilvl w:val="0"/>
          <w:numId w:val="1"/>
        </w:numPr>
        <w:ind w:left="540" w:hanging="540"/>
        <w:jc w:val="both"/>
      </w:pPr>
      <w:r>
        <w:rPr>
          <w:lang w:val="en-US"/>
        </w:rPr>
        <w:t xml:space="preserve">Incident Response Steps </w:t>
      </w:r>
      <w:r w:rsidR="0010032B" w:rsidRPr="00D27F7C">
        <w:ptab w:relativeTo="margin" w:alignment="right" w:leader="dot"/>
      </w:r>
      <w:r w:rsidR="005529C7">
        <w:t>3</w:t>
      </w:r>
    </w:p>
    <w:p w14:paraId="25695C6D" w14:textId="2BCC7700" w:rsidR="004B2F06" w:rsidRPr="00D27F7C" w:rsidRDefault="00771DFC" w:rsidP="00386D2A">
      <w:pPr>
        <w:pStyle w:val="TOC3"/>
        <w:numPr>
          <w:ilvl w:val="0"/>
          <w:numId w:val="1"/>
        </w:numPr>
        <w:ind w:left="540" w:hanging="540"/>
        <w:jc w:val="both"/>
      </w:pPr>
      <w:r>
        <w:t>User Awareness and Training</w:t>
      </w:r>
      <w:r w:rsidR="004B2F06" w:rsidRPr="00D27F7C">
        <w:t xml:space="preserve"> </w:t>
      </w:r>
      <w:r w:rsidR="004B2F06" w:rsidRPr="00D27F7C">
        <w:ptab w:relativeTo="margin" w:alignment="right" w:leader="dot"/>
      </w:r>
      <w:r w:rsidR="005529C7">
        <w:t>4</w:t>
      </w:r>
    </w:p>
    <w:p w14:paraId="4A1C52C2" w14:textId="34BA025D" w:rsidR="005529C7" w:rsidRDefault="005529C7" w:rsidP="00386D2A">
      <w:pPr>
        <w:pStyle w:val="TOC3"/>
        <w:numPr>
          <w:ilvl w:val="0"/>
          <w:numId w:val="1"/>
        </w:numPr>
        <w:ind w:left="540" w:hanging="540"/>
        <w:jc w:val="both"/>
      </w:pPr>
      <w:r>
        <w:rPr>
          <w:lang w:val="en-NG"/>
        </w:rPr>
        <w:t xml:space="preserve">Compliance and Enforcement </w:t>
      </w:r>
      <w:r w:rsidRPr="00D27F7C">
        <w:ptab w:relativeTo="margin" w:alignment="right" w:leader="dot"/>
      </w:r>
      <w:r>
        <w:t>4</w:t>
      </w:r>
    </w:p>
    <w:p w14:paraId="3B9FB33E" w14:textId="6E0F319D" w:rsidR="005529C7" w:rsidRDefault="005529C7" w:rsidP="00386D2A">
      <w:pPr>
        <w:pStyle w:val="TOC3"/>
        <w:numPr>
          <w:ilvl w:val="0"/>
          <w:numId w:val="1"/>
        </w:numPr>
        <w:ind w:left="540" w:hanging="540"/>
        <w:jc w:val="both"/>
      </w:pPr>
      <w:r>
        <w:rPr>
          <w:lang w:val="en-NG"/>
        </w:rPr>
        <w:t xml:space="preserve">Review and Revision </w:t>
      </w:r>
      <w:r w:rsidRPr="00D27F7C">
        <w:ptab w:relativeTo="margin" w:alignment="right" w:leader="dot"/>
      </w:r>
      <w:r w:rsidR="00E83F9E">
        <w:t>5</w:t>
      </w:r>
    </w:p>
    <w:p w14:paraId="41385211" w14:textId="0437F6C6" w:rsidR="00810A24" w:rsidRDefault="00810A24" w:rsidP="00810A24">
      <w:pPr>
        <w:pStyle w:val="TOC3"/>
        <w:numPr>
          <w:ilvl w:val="0"/>
          <w:numId w:val="1"/>
        </w:numPr>
        <w:ind w:left="540" w:hanging="540"/>
        <w:jc w:val="both"/>
      </w:pPr>
      <w:r>
        <w:rPr>
          <w:lang w:val="en-NG"/>
        </w:rPr>
        <w:t>Re</w:t>
      </w:r>
      <w:r w:rsidR="00E83F9E">
        <w:rPr>
          <w:lang w:val="en-NG"/>
        </w:rPr>
        <w:t>lated Documents</w:t>
      </w:r>
      <w:r>
        <w:rPr>
          <w:lang w:val="en-NG"/>
        </w:rPr>
        <w:t xml:space="preserve"> </w:t>
      </w:r>
      <w:r w:rsidRPr="00D27F7C">
        <w:ptab w:relativeTo="margin" w:alignment="right" w:leader="dot"/>
      </w:r>
      <w:r w:rsidR="00E83F9E">
        <w:t>5</w:t>
      </w:r>
    </w:p>
    <w:p w14:paraId="5EEE0046" w14:textId="77777777" w:rsidR="0010032B" w:rsidRPr="004B61BC" w:rsidRDefault="0010032B" w:rsidP="00D27F7C">
      <w:pPr>
        <w:jc w:val="both"/>
        <w:rPr>
          <w:color w:val="FF0000"/>
        </w:rPr>
      </w:pPr>
    </w:p>
    <w:p w14:paraId="6B8D6A39" w14:textId="77777777" w:rsidR="0010032B" w:rsidRDefault="0010032B" w:rsidP="00D27F7C">
      <w:pPr>
        <w:jc w:val="both"/>
        <w:rPr>
          <w:rFonts w:cs="Calibri"/>
          <w:b/>
          <w:bCs/>
        </w:rPr>
      </w:pPr>
    </w:p>
    <w:p w14:paraId="2B310305" w14:textId="77777777" w:rsidR="0010032B" w:rsidRDefault="0010032B" w:rsidP="00D27F7C">
      <w:pPr>
        <w:jc w:val="both"/>
        <w:rPr>
          <w:rFonts w:cs="Calibri"/>
          <w:b/>
          <w:bCs/>
        </w:rPr>
      </w:pPr>
    </w:p>
    <w:p w14:paraId="33A4FA99" w14:textId="03D581B0" w:rsidR="00D27F7C" w:rsidRDefault="00D27F7C" w:rsidP="00D27F7C">
      <w:pPr>
        <w:spacing w:line="278" w:lineRule="auto"/>
        <w:jc w:val="both"/>
      </w:pPr>
      <w:r>
        <w:br w:type="page"/>
      </w:r>
    </w:p>
    <w:p w14:paraId="7D54BEFE" w14:textId="77777777" w:rsidR="00771DFC" w:rsidRPr="00771DFC" w:rsidRDefault="00771DFC" w:rsidP="00771DFC">
      <w:pPr>
        <w:jc w:val="both"/>
        <w:rPr>
          <w:b/>
          <w:bCs/>
          <w:lang w:val="en-US"/>
        </w:rPr>
      </w:pPr>
      <w:r w:rsidRPr="00771DFC">
        <w:rPr>
          <w:b/>
          <w:bCs/>
          <w:lang w:val="en-US"/>
        </w:rPr>
        <w:lastRenderedPageBreak/>
        <w:t>1. Purpose</w:t>
      </w:r>
    </w:p>
    <w:p w14:paraId="60939B33" w14:textId="03A80F9F" w:rsidR="00265DBC" w:rsidRDefault="00265DBC" w:rsidP="00810A24">
      <w:pPr>
        <w:jc w:val="both"/>
      </w:pPr>
      <w:r>
        <w:t xml:space="preserve">The purpose of this procedure is to provide a structured, systematic approach for identifying, containing, eradicating, and recovering from malware incidents affecting </w:t>
      </w:r>
      <w:r w:rsidRPr="0075122E">
        <w:rPr>
          <w:lang w:val="en-US"/>
        </w:rPr>
        <w:t>North South Power</w:t>
      </w:r>
      <w:r w:rsidRPr="004C3B15">
        <w:rPr>
          <w:lang w:val="en-US"/>
        </w:rPr>
        <w:t xml:space="preserve"> Company Limited’s IT assets</w:t>
      </w:r>
      <w:r>
        <w:t xml:space="preserve"> and infrastructure. Prompt and coordinated response help minimize damage, reduce recovery time, and prevent future occurrences.</w:t>
      </w:r>
    </w:p>
    <w:p w14:paraId="76941782" w14:textId="77777777" w:rsidR="00810A24" w:rsidRDefault="00810A24" w:rsidP="00771DFC">
      <w:pPr>
        <w:jc w:val="both"/>
        <w:rPr>
          <w:b/>
          <w:bCs/>
          <w:lang w:val="en-US"/>
        </w:rPr>
      </w:pPr>
    </w:p>
    <w:p w14:paraId="4848D5C2" w14:textId="1FC22863" w:rsidR="00771DFC" w:rsidRPr="0075122E" w:rsidRDefault="00771DFC" w:rsidP="00771DFC">
      <w:pPr>
        <w:jc w:val="both"/>
        <w:rPr>
          <w:b/>
          <w:bCs/>
          <w:lang w:val="en-US"/>
        </w:rPr>
      </w:pPr>
      <w:r w:rsidRPr="0075122E">
        <w:rPr>
          <w:b/>
          <w:bCs/>
          <w:lang w:val="en-US"/>
        </w:rPr>
        <w:t>2. Scope</w:t>
      </w:r>
    </w:p>
    <w:p w14:paraId="074C5213" w14:textId="77777777" w:rsidR="00265DBC" w:rsidRDefault="00265DBC" w:rsidP="00265DBC">
      <w:r>
        <w:t>This procedure applies to all systems, users, devices, and third parties within the organization that are subject to malware threats or indicators of compromise (IOCs).</w:t>
      </w:r>
    </w:p>
    <w:p w14:paraId="5D8D2CD0" w14:textId="77777777" w:rsidR="00810A24" w:rsidRDefault="00810A24" w:rsidP="00771DFC">
      <w:pPr>
        <w:jc w:val="both"/>
        <w:rPr>
          <w:b/>
          <w:bCs/>
          <w:lang w:val="en-US"/>
        </w:rPr>
      </w:pPr>
    </w:p>
    <w:p w14:paraId="23841155" w14:textId="2A56C340" w:rsidR="00771DFC" w:rsidRPr="00771DFC" w:rsidRDefault="00771DFC" w:rsidP="00771DFC">
      <w:pPr>
        <w:jc w:val="both"/>
        <w:rPr>
          <w:b/>
          <w:bCs/>
          <w:lang w:val="en-US"/>
        </w:rPr>
      </w:pPr>
      <w:r w:rsidRPr="00771DFC">
        <w:rPr>
          <w:b/>
          <w:bCs/>
          <w:lang w:val="en-US"/>
        </w:rPr>
        <w:t xml:space="preserve">3. </w:t>
      </w:r>
      <w:r w:rsidR="005203DA">
        <w:rPr>
          <w:b/>
          <w:bCs/>
          <w:lang w:val="en-US"/>
        </w:rPr>
        <w:t>Roles &amp; Responsibilities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2405"/>
        <w:gridCol w:w="7366"/>
      </w:tblGrid>
      <w:tr w:rsidR="00243023" w14:paraId="4FFC5792" w14:textId="77777777" w:rsidTr="00810A24">
        <w:trPr>
          <w:trHeight w:val="191"/>
        </w:trPr>
        <w:tc>
          <w:tcPr>
            <w:tcW w:w="2405" w:type="dxa"/>
            <w:vAlign w:val="center"/>
          </w:tcPr>
          <w:p w14:paraId="1C49DCD2" w14:textId="7017210E" w:rsidR="00243023" w:rsidRPr="0075122E" w:rsidRDefault="00243023" w:rsidP="00243023">
            <w:pPr>
              <w:spacing w:before="100" w:beforeAutospacing="1" w:after="100" w:afterAutospacing="1" w:line="240" w:lineRule="auto"/>
              <w:rPr>
                <w:b/>
                <w:bCs/>
                <w:lang w:val="en-US"/>
              </w:rPr>
            </w:pPr>
            <w:r w:rsidRPr="004C3B15">
              <w:rPr>
                <w:b/>
                <w:bCs/>
                <w:lang w:val="en-US"/>
              </w:rPr>
              <w:t>Role</w:t>
            </w:r>
          </w:p>
        </w:tc>
        <w:tc>
          <w:tcPr>
            <w:tcW w:w="7366" w:type="dxa"/>
            <w:vAlign w:val="center"/>
          </w:tcPr>
          <w:p w14:paraId="58A91B96" w14:textId="425C1025" w:rsidR="00243023" w:rsidRPr="0075122E" w:rsidRDefault="00243023" w:rsidP="00243023">
            <w:pPr>
              <w:spacing w:before="100" w:beforeAutospacing="1" w:after="100" w:afterAutospacing="1" w:line="240" w:lineRule="auto"/>
              <w:rPr>
                <w:b/>
                <w:bCs/>
                <w:lang w:val="en-US"/>
              </w:rPr>
            </w:pPr>
            <w:r w:rsidRPr="004C3B15">
              <w:rPr>
                <w:b/>
                <w:bCs/>
                <w:lang w:val="en-US"/>
              </w:rPr>
              <w:t>Responsibility</w:t>
            </w:r>
          </w:p>
        </w:tc>
      </w:tr>
      <w:tr w:rsidR="00243023" w14:paraId="3B27F824" w14:textId="77777777" w:rsidTr="00810A24">
        <w:trPr>
          <w:trHeight w:val="600"/>
        </w:trPr>
        <w:tc>
          <w:tcPr>
            <w:tcW w:w="2405" w:type="dxa"/>
            <w:vAlign w:val="center"/>
          </w:tcPr>
          <w:p w14:paraId="52203E60" w14:textId="60E4313C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IT Security Team</w:t>
            </w:r>
          </w:p>
        </w:tc>
        <w:tc>
          <w:tcPr>
            <w:tcW w:w="7366" w:type="dxa"/>
            <w:vAlign w:val="center"/>
          </w:tcPr>
          <w:p w14:paraId="3A05BAEC" w14:textId="31002A9C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 xml:space="preserve">Lead the response, </w:t>
            </w:r>
            <w:r w:rsidRPr="0075122E">
              <w:rPr>
                <w:lang w:val="en-US"/>
              </w:rPr>
              <w:t>analyse</w:t>
            </w:r>
            <w:r w:rsidRPr="004C3B15">
              <w:rPr>
                <w:lang w:val="en-US"/>
              </w:rPr>
              <w:t xml:space="preserve"> infections, coordinate containment, and document incident resolution.</w:t>
            </w:r>
          </w:p>
        </w:tc>
      </w:tr>
      <w:tr w:rsidR="00243023" w14:paraId="3E435862" w14:textId="77777777" w:rsidTr="00810A24">
        <w:trPr>
          <w:trHeight w:val="600"/>
        </w:trPr>
        <w:tc>
          <w:tcPr>
            <w:tcW w:w="2405" w:type="dxa"/>
            <w:vAlign w:val="center"/>
          </w:tcPr>
          <w:p w14:paraId="320984EE" w14:textId="4A36344F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System Administrators</w:t>
            </w:r>
          </w:p>
        </w:tc>
        <w:tc>
          <w:tcPr>
            <w:tcW w:w="7366" w:type="dxa"/>
            <w:vAlign w:val="center"/>
          </w:tcPr>
          <w:p w14:paraId="323D6C16" w14:textId="1C819B0F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Assist in isolating affected systems, applying patches, and restoring functionality.</w:t>
            </w:r>
          </w:p>
        </w:tc>
      </w:tr>
      <w:tr w:rsidR="004D41EB" w14:paraId="3BA7F692" w14:textId="77777777" w:rsidTr="00810A24">
        <w:trPr>
          <w:trHeight w:val="591"/>
        </w:trPr>
        <w:tc>
          <w:tcPr>
            <w:tcW w:w="2405" w:type="dxa"/>
            <w:vAlign w:val="center"/>
          </w:tcPr>
          <w:p w14:paraId="7A390068" w14:textId="1ED51A88" w:rsidR="004D41EB" w:rsidRPr="004C3B15" w:rsidRDefault="004D41EB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t>HR/Legal</w:t>
            </w:r>
          </w:p>
        </w:tc>
        <w:tc>
          <w:tcPr>
            <w:tcW w:w="7366" w:type="dxa"/>
            <w:vAlign w:val="center"/>
          </w:tcPr>
          <w:p w14:paraId="77D18353" w14:textId="70678EF9" w:rsidR="004D41EB" w:rsidRPr="004D41EB" w:rsidRDefault="004D41EB" w:rsidP="004D41EB">
            <w:r>
              <w:t>Handle compliance, disciplinary action, and communication</w:t>
            </w:r>
          </w:p>
        </w:tc>
      </w:tr>
      <w:tr w:rsidR="00243023" w14:paraId="459ED018" w14:textId="77777777" w:rsidTr="00810A24">
        <w:trPr>
          <w:trHeight w:val="591"/>
        </w:trPr>
        <w:tc>
          <w:tcPr>
            <w:tcW w:w="2405" w:type="dxa"/>
            <w:vAlign w:val="center"/>
          </w:tcPr>
          <w:p w14:paraId="19631A53" w14:textId="29BB879D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End Users</w:t>
            </w:r>
          </w:p>
        </w:tc>
        <w:tc>
          <w:tcPr>
            <w:tcW w:w="7366" w:type="dxa"/>
            <w:vAlign w:val="center"/>
          </w:tcPr>
          <w:p w14:paraId="09F5AA80" w14:textId="1A4E4E81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Report any suspected malware activity immediately and avoid interacting with affected systems.</w:t>
            </w:r>
          </w:p>
        </w:tc>
      </w:tr>
      <w:tr w:rsidR="00243023" w14:paraId="6A0C7BC7" w14:textId="77777777" w:rsidTr="00810A24">
        <w:trPr>
          <w:trHeight w:val="600"/>
        </w:trPr>
        <w:tc>
          <w:tcPr>
            <w:tcW w:w="2405" w:type="dxa"/>
            <w:vAlign w:val="center"/>
          </w:tcPr>
          <w:p w14:paraId="36D817D6" w14:textId="492674BE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Management</w:t>
            </w:r>
          </w:p>
        </w:tc>
        <w:tc>
          <w:tcPr>
            <w:tcW w:w="7366" w:type="dxa"/>
            <w:vAlign w:val="center"/>
          </w:tcPr>
          <w:p w14:paraId="1B173038" w14:textId="63597A9B" w:rsidR="00243023" w:rsidRDefault="00243023" w:rsidP="0024302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Authorize escalations and approve decisions requiring service disruption or legal involvement.</w:t>
            </w:r>
          </w:p>
        </w:tc>
      </w:tr>
    </w:tbl>
    <w:p w14:paraId="0FCE1D1F" w14:textId="77777777" w:rsidR="00A10974" w:rsidRPr="00771DFC" w:rsidRDefault="00A10974" w:rsidP="00A10974">
      <w:pPr>
        <w:jc w:val="both"/>
        <w:rPr>
          <w:lang w:val="en-US"/>
        </w:rPr>
      </w:pPr>
    </w:p>
    <w:p w14:paraId="557BD9CE" w14:textId="51A4C171" w:rsidR="00243023" w:rsidRDefault="00771DFC" w:rsidP="00771DFC">
      <w:pPr>
        <w:jc w:val="both"/>
        <w:rPr>
          <w:b/>
          <w:bCs/>
          <w:lang w:val="en-US"/>
        </w:rPr>
      </w:pPr>
      <w:r w:rsidRPr="00771DFC">
        <w:rPr>
          <w:b/>
          <w:bCs/>
          <w:lang w:val="en-US"/>
        </w:rPr>
        <w:t xml:space="preserve">4. </w:t>
      </w:r>
      <w:r w:rsidR="00243023">
        <w:rPr>
          <w:b/>
          <w:bCs/>
          <w:lang w:val="en-US"/>
        </w:rPr>
        <w:t>Incident Response Steps</w:t>
      </w:r>
    </w:p>
    <w:p w14:paraId="19E67A05" w14:textId="77777777" w:rsidR="00243023" w:rsidRDefault="00243023" w:rsidP="00771DF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Step 1: Detection &amp; Reporting</w:t>
      </w:r>
    </w:p>
    <w:p w14:paraId="2F092C07" w14:textId="43B7C1EA" w:rsidR="00265DBC" w:rsidRPr="00265DBC" w:rsidRDefault="00265DBC" w:rsidP="00265DB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265DBC">
        <w:rPr>
          <w:lang w:val="en-US"/>
        </w:rPr>
        <w:t>Receive alerts via antivirus, IDS/IPS, SIEM tools</w:t>
      </w:r>
      <w:r w:rsidR="00B47DEB">
        <w:rPr>
          <w:lang w:val="en-US"/>
        </w:rPr>
        <w:t>.</w:t>
      </w:r>
    </w:p>
    <w:p w14:paraId="609D08BB" w14:textId="77777777" w:rsidR="00243023" w:rsidRPr="004C3B15" w:rsidRDefault="00243023" w:rsidP="00386D2A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Users should immediately report suspicious activities (e.g., slow performance, pop-ups, unauthorized access) to the IT Help Desk.</w:t>
      </w:r>
    </w:p>
    <w:p w14:paraId="75401BBD" w14:textId="209E85FA" w:rsidR="00243023" w:rsidRDefault="00243023" w:rsidP="00386D2A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IT systems with real-time scanning may also automatically alert the IT Security Team.</w:t>
      </w:r>
    </w:p>
    <w:p w14:paraId="4F17FA10" w14:textId="77777777" w:rsidR="00B47DEB" w:rsidRDefault="00B47DEB" w:rsidP="00B47DEB">
      <w:pPr>
        <w:pStyle w:val="ListParagraph"/>
        <w:numPr>
          <w:ilvl w:val="0"/>
          <w:numId w:val="3"/>
        </w:numPr>
      </w:pPr>
      <w:r>
        <w:t>Log initial incident details: source, type, device, user, time.</w:t>
      </w:r>
    </w:p>
    <w:p w14:paraId="65E124FB" w14:textId="77777777" w:rsidR="00B47DEB" w:rsidRDefault="00B47DEB" w:rsidP="00B47DEB">
      <w:pPr>
        <w:pStyle w:val="ListParagraph"/>
        <w:numPr>
          <w:ilvl w:val="0"/>
          <w:numId w:val="3"/>
        </w:numPr>
      </w:pPr>
      <w:r>
        <w:t>Assign severity level based on predefined criteria (low, medium, high, critical).</w:t>
      </w:r>
    </w:p>
    <w:p w14:paraId="7C868136" w14:textId="6352D97B" w:rsidR="00B47DEB" w:rsidRPr="00B47DEB" w:rsidRDefault="00B47DEB" w:rsidP="00B47DEB">
      <w:pPr>
        <w:pStyle w:val="ListParagraph"/>
        <w:numPr>
          <w:ilvl w:val="0"/>
          <w:numId w:val="3"/>
        </w:numPr>
      </w:pPr>
      <w:r>
        <w:t>Notify the incident response team (IR Team).</w:t>
      </w:r>
    </w:p>
    <w:p w14:paraId="6912B271" w14:textId="06F79A0F" w:rsidR="0084786C" w:rsidRPr="004C3B15" w:rsidRDefault="00243023" w:rsidP="0084786C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Step 2: Containment</w:t>
      </w:r>
    </w:p>
    <w:p w14:paraId="50C39A96" w14:textId="4A6AF7A2" w:rsidR="00243023" w:rsidRPr="00265DBC" w:rsidRDefault="00265DBC" w:rsidP="00265DB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Short Term: </w:t>
      </w:r>
      <w:r w:rsidR="00243023" w:rsidRPr="004C3B15">
        <w:rPr>
          <w:lang w:val="en-US"/>
        </w:rPr>
        <w:t>Disconnect the infected device from the network (wired/Wi-Fi)</w:t>
      </w:r>
      <w:r>
        <w:rPr>
          <w:lang w:val="en-US"/>
        </w:rPr>
        <w:t xml:space="preserve"> effectively isolating the </w:t>
      </w:r>
      <w:r w:rsidRPr="00265DBC">
        <w:rPr>
          <w:lang w:val="en-US"/>
        </w:rPr>
        <w:t>affected systems from the network to prevent spread.</w:t>
      </w:r>
    </w:p>
    <w:p w14:paraId="7B0E5E15" w14:textId="3B66C78E" w:rsidR="00243023" w:rsidRPr="004C3B15" w:rsidRDefault="00265DBC" w:rsidP="00386D2A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Long Term: </w:t>
      </w:r>
      <w:r w:rsidR="00243023" w:rsidRPr="004C3B15">
        <w:rPr>
          <w:lang w:val="en-US"/>
        </w:rPr>
        <w:t xml:space="preserve">Disable </w:t>
      </w:r>
      <w:r>
        <w:t xml:space="preserve">affected user accounts, </w:t>
      </w:r>
      <w:r w:rsidR="00243023" w:rsidRPr="004C3B15">
        <w:rPr>
          <w:lang w:val="en-US"/>
        </w:rPr>
        <w:t>shared drives</w:t>
      </w:r>
      <w:r>
        <w:rPr>
          <w:lang w:val="en-US"/>
        </w:rPr>
        <w:t xml:space="preserve">, </w:t>
      </w:r>
      <w:r>
        <w:t>quarantine files</w:t>
      </w:r>
      <w:r>
        <w:rPr>
          <w:lang w:val="en-US"/>
        </w:rPr>
        <w:t xml:space="preserve">, </w:t>
      </w:r>
      <w:r>
        <w:t>restrict access</w:t>
      </w:r>
      <w:r w:rsidRPr="004C3B15">
        <w:rPr>
          <w:lang w:val="en-US"/>
        </w:rPr>
        <w:t xml:space="preserve"> </w:t>
      </w:r>
      <w:r w:rsidR="00243023" w:rsidRPr="004C3B15">
        <w:rPr>
          <w:lang w:val="en-US"/>
        </w:rPr>
        <w:t>and revoke user credentials, if applicable.</w:t>
      </w:r>
    </w:p>
    <w:p w14:paraId="2AD289B4" w14:textId="7CD84703" w:rsidR="00243023" w:rsidRPr="00243023" w:rsidRDefault="00265DBC" w:rsidP="00386D2A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t>Preserve forensic evidence, l</w:t>
      </w:r>
      <w:r w:rsidR="00243023" w:rsidRPr="004C3B15">
        <w:rPr>
          <w:lang w:val="en-US"/>
        </w:rPr>
        <w:t>og containment actions taken and affected assets</w:t>
      </w:r>
      <w:r>
        <w:rPr>
          <w:lang w:val="en-US"/>
        </w:rPr>
        <w:t xml:space="preserve"> </w:t>
      </w:r>
      <w:r>
        <w:t>before proceeding to eradication</w:t>
      </w:r>
      <w:r w:rsidR="00243023" w:rsidRPr="004C3B15">
        <w:rPr>
          <w:lang w:val="en-US"/>
        </w:rPr>
        <w:t>.</w:t>
      </w:r>
    </w:p>
    <w:p w14:paraId="19E8B3C3" w14:textId="452A0D04" w:rsidR="000B5821" w:rsidRDefault="000B5821" w:rsidP="00F24B6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3: Analysis</w:t>
      </w:r>
    </w:p>
    <w:p w14:paraId="2FFBDF72" w14:textId="284B8C02" w:rsidR="000B5821" w:rsidRPr="004C3B15" w:rsidRDefault="000B5821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0B5821">
        <w:rPr>
          <w:lang w:val="en-US"/>
        </w:rPr>
        <w:t>Analyse</w:t>
      </w:r>
      <w:r w:rsidRPr="004C3B15">
        <w:rPr>
          <w:lang w:val="en-US"/>
        </w:rPr>
        <w:t xml:space="preserve"> logs, alert data, and malware </w:t>
      </w:r>
      <w:r w:rsidRPr="000B5821">
        <w:rPr>
          <w:lang w:val="en-US"/>
        </w:rPr>
        <w:t>behaviour</w:t>
      </w:r>
      <w:r w:rsidRPr="004C3B15">
        <w:rPr>
          <w:lang w:val="en-US"/>
        </w:rPr>
        <w:t xml:space="preserve"> to determine:</w:t>
      </w:r>
    </w:p>
    <w:p w14:paraId="6CB7D82D" w14:textId="77777777" w:rsidR="000B5821" w:rsidRPr="004C3B15" w:rsidRDefault="000B5821" w:rsidP="00386D2A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Type of malware (e.g., Trojan, ransomware, spyware).</w:t>
      </w:r>
    </w:p>
    <w:p w14:paraId="63ED264A" w14:textId="77777777" w:rsidR="000B5821" w:rsidRPr="004C3B15" w:rsidRDefault="000B5821" w:rsidP="00386D2A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Infection vector (email, USB, network).</w:t>
      </w:r>
    </w:p>
    <w:p w14:paraId="1BE2CD1C" w14:textId="77777777" w:rsidR="000B5821" w:rsidRPr="004C3B15" w:rsidRDefault="000B5821" w:rsidP="00386D2A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Affected data and system integrity.</w:t>
      </w:r>
    </w:p>
    <w:p w14:paraId="07E5E914" w14:textId="1B14B619" w:rsidR="000B5821" w:rsidRPr="004C3B15" w:rsidRDefault="000B5821" w:rsidP="00F24B63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Step 4: Eradication</w:t>
      </w:r>
    </w:p>
    <w:p w14:paraId="1F14F7D1" w14:textId="78E25B68" w:rsidR="000B5821" w:rsidRPr="00B47DEB" w:rsidRDefault="000B5821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Use updated anti-malware tools to remove the infection</w:t>
      </w:r>
      <w:r w:rsidR="00B47DEB">
        <w:rPr>
          <w:lang w:val="en-US"/>
        </w:rPr>
        <w:t xml:space="preserve"> and </w:t>
      </w:r>
      <w:r w:rsidR="00B47DEB" w:rsidRPr="00B47DEB">
        <w:rPr>
          <w:lang w:val="en-US"/>
        </w:rPr>
        <w:t>clean the systems.</w:t>
      </w:r>
    </w:p>
    <w:p w14:paraId="1ED99EB1" w14:textId="507FFF42" w:rsidR="00B47DEB" w:rsidRPr="00B47DEB" w:rsidRDefault="00B47DEB" w:rsidP="00B47DE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47DEB">
        <w:rPr>
          <w:lang w:val="en-US"/>
        </w:rPr>
        <w:t>Delete malicious files, registry entries, and scripts.</w:t>
      </w:r>
    </w:p>
    <w:p w14:paraId="0273C008" w14:textId="77777777" w:rsidR="000B5821" w:rsidRPr="004C3B15" w:rsidRDefault="000B5821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Apply security patches, revoke compromised credentials, and reset configurations.</w:t>
      </w:r>
    </w:p>
    <w:p w14:paraId="2D9AA1BD" w14:textId="77777777" w:rsidR="000B5821" w:rsidRPr="004C3B15" w:rsidRDefault="000B5821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If cleaning fails, perform a full reinstallation of the affected system(s).</w:t>
      </w:r>
    </w:p>
    <w:p w14:paraId="18D56AF5" w14:textId="78158358" w:rsidR="000B5821" w:rsidRDefault="000B5821" w:rsidP="000B582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 5: </w:t>
      </w:r>
      <w:r w:rsidR="008F36F5">
        <w:rPr>
          <w:b/>
          <w:bCs/>
          <w:lang w:val="en-US"/>
        </w:rPr>
        <w:t>Recovery</w:t>
      </w:r>
    </w:p>
    <w:p w14:paraId="218E5B99" w14:textId="10CE1CCB" w:rsidR="00527490" w:rsidRDefault="00527490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Restore data from verified backups, if needed.</w:t>
      </w:r>
    </w:p>
    <w:p w14:paraId="4E335E07" w14:textId="21B408F3" w:rsidR="00B47DEB" w:rsidRPr="00B47DEB" w:rsidRDefault="00B47DEB" w:rsidP="00B47DE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47DEB">
        <w:rPr>
          <w:lang w:val="en-US"/>
        </w:rPr>
        <w:t>Monitor systems for residual infection or unusual behavior.</w:t>
      </w:r>
    </w:p>
    <w:p w14:paraId="6D5CC2B6" w14:textId="0F1625EB" w:rsidR="00527490" w:rsidRPr="004C3B15" w:rsidRDefault="00527490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Reconnect systems to the network after verification</w:t>
      </w:r>
      <w:r w:rsidR="00B47DEB">
        <w:rPr>
          <w:lang w:val="en-US"/>
        </w:rPr>
        <w:t xml:space="preserve"> and </w:t>
      </w:r>
      <w:r w:rsidR="00B47DEB" w:rsidRPr="00B47DEB">
        <w:rPr>
          <w:lang w:val="en-US"/>
        </w:rPr>
        <w:t>under controlled observation</w:t>
      </w:r>
      <w:r w:rsidRPr="004C3B15">
        <w:rPr>
          <w:lang w:val="en-US"/>
        </w:rPr>
        <w:t>.</w:t>
      </w:r>
    </w:p>
    <w:p w14:paraId="1AA6C0EC" w14:textId="77777777" w:rsidR="00527490" w:rsidRPr="004C3B15" w:rsidRDefault="00527490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Confirm normal operations and user access.</w:t>
      </w:r>
    </w:p>
    <w:p w14:paraId="758ADC3A" w14:textId="4E0B3E1E" w:rsidR="000B5821" w:rsidRPr="004C3B15" w:rsidRDefault="000B5821" w:rsidP="000B5821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t>Step 6: Containment</w:t>
      </w:r>
    </w:p>
    <w:p w14:paraId="73420AC9" w14:textId="050B6D58" w:rsidR="00B47DEB" w:rsidRPr="00B47DEB" w:rsidRDefault="00B47DEB" w:rsidP="00B47DEB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>
        <w:t>Conduct a post-incident review</w:t>
      </w:r>
    </w:p>
    <w:p w14:paraId="3FBC96FF" w14:textId="738FEB47" w:rsidR="00527490" w:rsidRPr="004C3B15" w:rsidRDefault="00527490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Document the incident, actions taken, and lessons learned.</w:t>
      </w:r>
    </w:p>
    <w:p w14:paraId="40F978BF" w14:textId="3AEC3FD1" w:rsidR="00527490" w:rsidRPr="004C3B15" w:rsidRDefault="00527490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Update threat signatures</w:t>
      </w:r>
      <w:r w:rsidR="00B47DEB">
        <w:rPr>
          <w:lang w:val="en-US"/>
        </w:rPr>
        <w:t>, security policies</w:t>
      </w:r>
      <w:r w:rsidRPr="004C3B15">
        <w:rPr>
          <w:lang w:val="en-US"/>
        </w:rPr>
        <w:t xml:space="preserve"> and SOPs </w:t>
      </w:r>
      <w:r w:rsidR="004D41EB">
        <w:rPr>
          <w:lang w:val="en-US"/>
        </w:rPr>
        <w:t xml:space="preserve">based on findings </w:t>
      </w:r>
      <w:r w:rsidRPr="004C3B15">
        <w:rPr>
          <w:lang w:val="en-US"/>
        </w:rPr>
        <w:t>if necessary.</w:t>
      </w:r>
    </w:p>
    <w:p w14:paraId="3D9A157F" w14:textId="77777777" w:rsidR="00527490" w:rsidRPr="004C3B15" w:rsidRDefault="00527490" w:rsidP="00386D2A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>Submit final report to IT Leadership.</w:t>
      </w:r>
    </w:p>
    <w:p w14:paraId="37CFD178" w14:textId="77777777" w:rsidR="00810A24" w:rsidRDefault="00810A24" w:rsidP="00527490">
      <w:pPr>
        <w:jc w:val="both"/>
        <w:rPr>
          <w:b/>
          <w:bCs/>
          <w:lang w:val="en-US"/>
        </w:rPr>
      </w:pPr>
    </w:p>
    <w:p w14:paraId="0DDEB6B7" w14:textId="716481AE" w:rsidR="00EF1621" w:rsidRPr="004C3B15" w:rsidRDefault="00EF1621" w:rsidP="00527490">
      <w:pPr>
        <w:jc w:val="both"/>
        <w:rPr>
          <w:b/>
          <w:bCs/>
          <w:lang w:val="en-US"/>
        </w:rPr>
      </w:pPr>
      <w:r w:rsidRPr="004C3B15">
        <w:rPr>
          <w:b/>
          <w:bCs/>
          <w:lang w:val="en-US"/>
        </w:rPr>
        <w:t xml:space="preserve">5. </w:t>
      </w:r>
      <w:r w:rsidR="00527490" w:rsidRPr="004C3B15">
        <w:rPr>
          <w:b/>
          <w:bCs/>
          <w:lang w:val="en-US"/>
        </w:rPr>
        <w:t>Escalation Matrix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28"/>
        <w:gridCol w:w="5417"/>
        <w:gridCol w:w="3203"/>
      </w:tblGrid>
      <w:tr w:rsidR="00527490" w14:paraId="23C6D8D7" w14:textId="77777777" w:rsidTr="00527490">
        <w:trPr>
          <w:trHeight w:val="327"/>
        </w:trPr>
        <w:tc>
          <w:tcPr>
            <w:tcW w:w="988" w:type="dxa"/>
            <w:vAlign w:val="center"/>
          </w:tcPr>
          <w:p w14:paraId="17490715" w14:textId="20D7A996" w:rsidR="00527490" w:rsidRPr="00810A24" w:rsidRDefault="00527490" w:rsidP="00180E20">
            <w:pPr>
              <w:spacing w:before="100" w:beforeAutospacing="1" w:after="100" w:afterAutospacing="1" w:line="240" w:lineRule="auto"/>
              <w:rPr>
                <w:b/>
                <w:bCs/>
                <w:lang w:val="en-US"/>
              </w:rPr>
            </w:pPr>
            <w:r w:rsidRPr="00810A24">
              <w:rPr>
                <w:b/>
                <w:bCs/>
                <w:lang w:val="en-US"/>
              </w:rPr>
              <w:t>Severity</w:t>
            </w:r>
          </w:p>
        </w:tc>
        <w:tc>
          <w:tcPr>
            <w:tcW w:w="5444" w:type="dxa"/>
            <w:vAlign w:val="center"/>
          </w:tcPr>
          <w:p w14:paraId="67A15D82" w14:textId="0C919F09" w:rsidR="00527490" w:rsidRPr="00810A24" w:rsidRDefault="00527490" w:rsidP="00180E20">
            <w:pPr>
              <w:spacing w:before="100" w:beforeAutospacing="1" w:after="100" w:afterAutospacing="1" w:line="240" w:lineRule="auto"/>
              <w:rPr>
                <w:b/>
                <w:bCs/>
                <w:lang w:val="en-US"/>
              </w:rPr>
            </w:pPr>
            <w:r w:rsidRPr="00810A24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216" w:type="dxa"/>
            <w:vAlign w:val="center"/>
          </w:tcPr>
          <w:p w14:paraId="348D3CDD" w14:textId="498ED0F2" w:rsidR="00527490" w:rsidRPr="00810A24" w:rsidRDefault="00527490" w:rsidP="00180E20">
            <w:pPr>
              <w:spacing w:before="100" w:beforeAutospacing="1" w:after="100" w:afterAutospacing="1" w:line="240" w:lineRule="auto"/>
              <w:rPr>
                <w:b/>
                <w:bCs/>
                <w:lang w:val="en-US"/>
              </w:rPr>
            </w:pPr>
            <w:r w:rsidRPr="00810A24">
              <w:rPr>
                <w:b/>
                <w:bCs/>
                <w:lang w:val="en-US"/>
              </w:rPr>
              <w:t>Escalate To</w:t>
            </w:r>
          </w:p>
        </w:tc>
      </w:tr>
      <w:tr w:rsidR="00527490" w14:paraId="71AB2EAB" w14:textId="77777777" w:rsidTr="00527490">
        <w:trPr>
          <w:trHeight w:val="671"/>
        </w:trPr>
        <w:tc>
          <w:tcPr>
            <w:tcW w:w="988" w:type="dxa"/>
            <w:vAlign w:val="center"/>
          </w:tcPr>
          <w:p w14:paraId="168EB649" w14:textId="06F2A1FE" w:rsidR="00527490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Low</w:t>
            </w:r>
          </w:p>
        </w:tc>
        <w:tc>
          <w:tcPr>
            <w:tcW w:w="5444" w:type="dxa"/>
            <w:vAlign w:val="center"/>
          </w:tcPr>
          <w:p w14:paraId="7BF3DD44" w14:textId="7B112394" w:rsidR="00527490" w:rsidRDefault="00180E2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27490" w:rsidRPr="004C3B15">
              <w:rPr>
                <w:lang w:val="en-US"/>
              </w:rPr>
              <w:t>solated system infection, no data loss</w:t>
            </w:r>
          </w:p>
        </w:tc>
        <w:tc>
          <w:tcPr>
            <w:tcW w:w="3216" w:type="dxa"/>
            <w:vAlign w:val="center"/>
          </w:tcPr>
          <w:p w14:paraId="557C763C" w14:textId="3B768593" w:rsidR="00527490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System Admin</w:t>
            </w:r>
          </w:p>
        </w:tc>
      </w:tr>
      <w:tr w:rsidR="00527490" w14:paraId="591B46CC" w14:textId="77777777" w:rsidTr="00527490">
        <w:trPr>
          <w:trHeight w:val="686"/>
        </w:trPr>
        <w:tc>
          <w:tcPr>
            <w:tcW w:w="988" w:type="dxa"/>
            <w:vAlign w:val="center"/>
          </w:tcPr>
          <w:p w14:paraId="3B340721" w14:textId="4CEF3889" w:rsidR="00527490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Medium</w:t>
            </w:r>
          </w:p>
        </w:tc>
        <w:tc>
          <w:tcPr>
            <w:tcW w:w="5444" w:type="dxa"/>
            <w:vAlign w:val="center"/>
          </w:tcPr>
          <w:p w14:paraId="560256FA" w14:textId="1058BB56" w:rsidR="00527490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Multiple systems infected, potential data exposure</w:t>
            </w:r>
          </w:p>
        </w:tc>
        <w:tc>
          <w:tcPr>
            <w:tcW w:w="3216" w:type="dxa"/>
            <w:vAlign w:val="center"/>
          </w:tcPr>
          <w:p w14:paraId="32CF946E" w14:textId="3717845F" w:rsidR="00527490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IT Security Lead</w:t>
            </w:r>
          </w:p>
        </w:tc>
      </w:tr>
      <w:tr w:rsidR="00527490" w14:paraId="08A6B29B" w14:textId="77777777" w:rsidTr="00527490">
        <w:trPr>
          <w:trHeight w:val="1000"/>
        </w:trPr>
        <w:tc>
          <w:tcPr>
            <w:tcW w:w="988" w:type="dxa"/>
            <w:vAlign w:val="center"/>
          </w:tcPr>
          <w:p w14:paraId="5F632E25" w14:textId="1C3DF7D9" w:rsidR="00527490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C3B15">
              <w:rPr>
                <w:lang w:val="en-US"/>
              </w:rPr>
              <w:t>High</w:t>
            </w:r>
          </w:p>
        </w:tc>
        <w:tc>
          <w:tcPr>
            <w:tcW w:w="5444" w:type="dxa"/>
            <w:vAlign w:val="center"/>
          </w:tcPr>
          <w:p w14:paraId="7AEE2C83" w14:textId="1059F050" w:rsidR="00527490" w:rsidRPr="00CA7786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CA7786">
              <w:rPr>
                <w:lang w:val="en-US"/>
              </w:rPr>
              <w:t>Widespread infection, confirmed data compromise or ransomware</w:t>
            </w:r>
          </w:p>
        </w:tc>
        <w:tc>
          <w:tcPr>
            <w:tcW w:w="3216" w:type="dxa"/>
            <w:vAlign w:val="center"/>
          </w:tcPr>
          <w:p w14:paraId="1E2E8D16" w14:textId="6564F48B" w:rsidR="00527490" w:rsidRPr="00CA7786" w:rsidRDefault="00527490" w:rsidP="00180E20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CA7786">
              <w:rPr>
                <w:lang w:val="en-US"/>
              </w:rPr>
              <w:t>CIO, Legal, External Authorities if needed</w:t>
            </w:r>
          </w:p>
        </w:tc>
      </w:tr>
    </w:tbl>
    <w:p w14:paraId="438B4A0E" w14:textId="77777777" w:rsidR="00810A24" w:rsidRDefault="00810A24" w:rsidP="00527490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</w:p>
    <w:p w14:paraId="7DD9D256" w14:textId="7C50D1BD" w:rsidR="00527490" w:rsidRPr="004C3B15" w:rsidRDefault="00527490" w:rsidP="00527490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 w:rsidRPr="004C3B15">
        <w:rPr>
          <w:b/>
          <w:bCs/>
          <w:lang w:val="en-US"/>
        </w:rPr>
        <w:t>6. Documentation &amp; Records</w:t>
      </w:r>
    </w:p>
    <w:p w14:paraId="28672AAD" w14:textId="4FF1E9BD" w:rsidR="00527490" w:rsidRDefault="00527490" w:rsidP="00527490">
      <w:pPr>
        <w:spacing w:before="100" w:beforeAutospacing="1" w:after="100" w:afterAutospacing="1" w:line="240" w:lineRule="auto"/>
        <w:rPr>
          <w:lang w:val="en-US"/>
        </w:rPr>
      </w:pPr>
      <w:r w:rsidRPr="004C3B15">
        <w:rPr>
          <w:lang w:val="en-US"/>
        </w:rPr>
        <w:t xml:space="preserve">Maintain </w:t>
      </w:r>
      <w:r w:rsidR="004D41EB">
        <w:t>full lifecycle details</w:t>
      </w:r>
      <w:r w:rsidR="004D41EB" w:rsidRPr="004C3B15">
        <w:rPr>
          <w:lang w:val="en-US"/>
        </w:rPr>
        <w:t xml:space="preserve"> </w:t>
      </w:r>
      <w:r w:rsidR="004D41EB">
        <w:rPr>
          <w:lang w:val="en-US"/>
        </w:rPr>
        <w:t>(</w:t>
      </w:r>
      <w:r w:rsidRPr="004C3B15">
        <w:rPr>
          <w:lang w:val="en-US"/>
        </w:rPr>
        <w:t>all incident logs, screenshots, reports, and post-incident analysis</w:t>
      </w:r>
      <w:r w:rsidR="004D41EB">
        <w:rPr>
          <w:lang w:val="en-US"/>
        </w:rPr>
        <w:t>)</w:t>
      </w:r>
      <w:r w:rsidRPr="004C3B15">
        <w:rPr>
          <w:lang w:val="en-US"/>
        </w:rPr>
        <w:t xml:space="preserve"> in the </w:t>
      </w:r>
      <w:r w:rsidRPr="004C3B15">
        <w:rPr>
          <w:b/>
          <w:bCs/>
          <w:lang w:val="en-US"/>
        </w:rPr>
        <w:t>Cybersecurity Incident Register</w:t>
      </w:r>
      <w:r w:rsidRPr="004C3B15">
        <w:rPr>
          <w:lang w:val="en-US"/>
        </w:rPr>
        <w:t xml:space="preserve"> for a minimum of </w:t>
      </w:r>
      <w:r w:rsidRPr="00180E20">
        <w:rPr>
          <w:lang w:val="en-US"/>
        </w:rPr>
        <w:t>2</w:t>
      </w:r>
      <w:r w:rsidRPr="004C3B15">
        <w:rPr>
          <w:lang w:val="en-US"/>
        </w:rPr>
        <w:t xml:space="preserve"> years.</w:t>
      </w:r>
    </w:p>
    <w:p w14:paraId="53740BAF" w14:textId="0995ABCD" w:rsidR="004D41EB" w:rsidRPr="004C3B15" w:rsidRDefault="004D41EB" w:rsidP="004D41EB">
      <w:pPr>
        <w:spacing w:before="100" w:beforeAutospacing="1" w:after="100" w:afterAutospacing="1" w:line="240" w:lineRule="auto"/>
        <w:outlineLvl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7</w:t>
      </w:r>
      <w:r w:rsidRPr="004C3B1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Re</w:t>
      </w:r>
      <w:r w:rsidR="00810A24">
        <w:rPr>
          <w:b/>
          <w:bCs/>
          <w:lang w:val="en-US"/>
        </w:rPr>
        <w:t>view and Revision</w:t>
      </w:r>
      <w:r>
        <w:rPr>
          <w:b/>
          <w:bCs/>
          <w:lang w:val="en-US"/>
        </w:rPr>
        <w:t xml:space="preserve"> </w:t>
      </w:r>
    </w:p>
    <w:p w14:paraId="062E22DE" w14:textId="77777777" w:rsidR="00810A24" w:rsidRDefault="00810A24" w:rsidP="00810A24">
      <w:pPr>
        <w:spacing w:before="100" w:beforeAutospacing="1" w:after="100" w:afterAutospacing="1" w:line="240" w:lineRule="auto"/>
        <w:jc w:val="both"/>
        <w:rPr>
          <w:lang w:val="en-US"/>
        </w:rPr>
      </w:pPr>
      <w:r w:rsidRPr="004C3B15">
        <w:rPr>
          <w:lang w:val="en-US"/>
        </w:rPr>
        <w:t xml:space="preserve">This </w:t>
      </w:r>
      <w:r>
        <w:rPr>
          <w:lang w:val="en-US"/>
        </w:rPr>
        <w:t>document</w:t>
      </w:r>
      <w:r w:rsidRPr="004C3B15">
        <w:rPr>
          <w:lang w:val="en-US"/>
        </w:rPr>
        <w:t xml:space="preserve"> will undergo a formal review every two (2) years to ensure its continued relevance and effectiveness. The review will be conducted by the IT Security Team in collaboration with key stakeholders.</w:t>
      </w:r>
      <w:r>
        <w:rPr>
          <w:lang w:val="en-US"/>
        </w:rPr>
        <w:t xml:space="preserve"> </w:t>
      </w:r>
      <w:r w:rsidRPr="004C3B15">
        <w:rPr>
          <w:lang w:val="en-US"/>
        </w:rPr>
        <w:t xml:space="preserve">If significant changes in technology, regulatory requirements, or threat landscape arise before the next scheduled review, an addendum will be issued </w:t>
      </w:r>
      <w:r w:rsidRPr="00717CA3">
        <w:rPr>
          <w:lang w:val="en-US"/>
        </w:rPr>
        <w:t xml:space="preserve">and attached as an </w:t>
      </w:r>
      <w:r w:rsidRPr="004C3B15">
        <w:rPr>
          <w:lang w:val="en-US"/>
        </w:rPr>
        <w:t xml:space="preserve">update </w:t>
      </w:r>
      <w:r w:rsidRPr="00717CA3">
        <w:rPr>
          <w:lang w:val="en-US"/>
        </w:rPr>
        <w:t xml:space="preserve">to </w:t>
      </w:r>
      <w:r w:rsidRPr="004C3B15">
        <w:rPr>
          <w:lang w:val="en-US"/>
        </w:rPr>
        <w:t>relevant sections of the policy.</w:t>
      </w:r>
      <w:r w:rsidRPr="00717CA3">
        <w:rPr>
          <w:lang w:val="en-US"/>
        </w:rPr>
        <w:t xml:space="preserve"> </w:t>
      </w:r>
      <w:r w:rsidRPr="004C3B15">
        <w:rPr>
          <w:lang w:val="en-US"/>
        </w:rPr>
        <w:t>Such interim updates will remain in effect until the next comprehensive review and integration into the core policy.</w:t>
      </w:r>
    </w:p>
    <w:p w14:paraId="109C4C74" w14:textId="77777777" w:rsidR="00810A24" w:rsidRPr="004D41EB" w:rsidRDefault="00810A24" w:rsidP="00810A24"/>
    <w:sectPr w:rsidR="00810A24" w:rsidRPr="004D41EB" w:rsidSect="00521CE6">
      <w:headerReference w:type="default" r:id="rId11"/>
      <w:pgSz w:w="11906" w:h="16838"/>
      <w:pgMar w:top="920" w:right="1440" w:bottom="630" w:left="144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2F86D" w14:textId="77777777" w:rsidR="00AD6051" w:rsidRDefault="00AD6051" w:rsidP="0010032B">
      <w:pPr>
        <w:spacing w:after="0" w:line="240" w:lineRule="auto"/>
      </w:pPr>
      <w:r>
        <w:separator/>
      </w:r>
    </w:p>
  </w:endnote>
  <w:endnote w:type="continuationSeparator" w:id="0">
    <w:p w14:paraId="4A66415D" w14:textId="77777777" w:rsidR="00AD6051" w:rsidRDefault="00AD6051" w:rsidP="0010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58576" w14:textId="77777777" w:rsidR="00AD6051" w:rsidRDefault="00AD6051" w:rsidP="0010032B">
      <w:pPr>
        <w:spacing w:after="0" w:line="240" w:lineRule="auto"/>
      </w:pPr>
      <w:r>
        <w:separator/>
      </w:r>
    </w:p>
  </w:footnote>
  <w:footnote w:type="continuationSeparator" w:id="0">
    <w:p w14:paraId="6E384F46" w14:textId="77777777" w:rsidR="00AD6051" w:rsidRDefault="00AD6051" w:rsidP="0010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10" w:type="dxa"/>
      <w:tblInd w:w="-8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40"/>
      <w:gridCol w:w="5490"/>
      <w:gridCol w:w="3780"/>
    </w:tblGrid>
    <w:tr w:rsidR="0010032B" w:rsidRPr="00C7006B" w14:paraId="3DCABD8A" w14:textId="77777777" w:rsidTr="00C7006B">
      <w:trPr>
        <w:cantSplit/>
        <w:trHeight w:val="795"/>
      </w:trPr>
      <w:tc>
        <w:tcPr>
          <w:tcW w:w="1440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8AE7D78" w14:textId="70BB7352" w:rsidR="0010032B" w:rsidRPr="00C7006B" w:rsidRDefault="0010032B" w:rsidP="00C7006B">
          <w:pPr>
            <w:pStyle w:val="BodyText"/>
            <w:spacing w:line="278" w:lineRule="auto"/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</w:pPr>
          <w:r w:rsidRPr="00C7006B">
            <w:rPr>
              <w:rFonts w:asciiTheme="minorHAnsi" w:hAnsiTheme="minorHAnsi"/>
              <w:noProof/>
            </w:rPr>
            <w:drawing>
              <wp:inline distT="0" distB="0" distL="0" distR="0" wp14:anchorId="624415A3" wp14:editId="68FEEA00">
                <wp:extent cx="685800" cy="755246"/>
                <wp:effectExtent l="0" t="0" r="0" b="6985"/>
                <wp:docPr id="108851548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983" cy="762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83B2639" w14:textId="4431BC4B" w:rsidR="0010032B" w:rsidRPr="00C7006B" w:rsidRDefault="0010032B" w:rsidP="00C7006B">
          <w:pPr>
            <w:pStyle w:val="BodyText"/>
            <w:spacing w:line="360" w:lineRule="auto"/>
            <w:jc w:val="center"/>
            <w:rPr>
              <w:rFonts w:asciiTheme="minorHAnsi" w:hAnsiTheme="minorHAnsi" w:cstheme="minorHAnsi"/>
              <w:bCs/>
              <w:color w:val="000000" w:themeColor="text1"/>
              <w:sz w:val="22"/>
              <w:szCs w:val="22"/>
            </w:rPr>
          </w:pPr>
          <w:r w:rsidRPr="00C7006B"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>INFORMATION TECHNOLOGY AND SECURITY COMPLIANCE DEPARTMENT</w:t>
          </w:r>
        </w:p>
      </w:tc>
      <w:tc>
        <w:tcPr>
          <w:tcW w:w="3780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9102D5A" w14:textId="6CD3C519" w:rsidR="0010032B" w:rsidRPr="00C7006B" w:rsidRDefault="0010032B" w:rsidP="00C7006B">
          <w:pPr>
            <w:pStyle w:val="BodyText"/>
            <w:spacing w:line="360" w:lineRule="auto"/>
            <w:jc w:val="left"/>
            <w:rPr>
              <w:rFonts w:asciiTheme="minorHAnsi" w:hAnsiTheme="minorHAnsi" w:cstheme="minorHAnsi"/>
              <w:bCs/>
              <w:color w:val="000000" w:themeColor="text1"/>
              <w:sz w:val="22"/>
              <w:szCs w:val="22"/>
            </w:rPr>
          </w:pPr>
          <w:r w:rsidRPr="00C7006B">
            <w:rPr>
              <w:rFonts w:asciiTheme="minorHAnsi" w:hAnsiTheme="minorHAnsi" w:cstheme="minorHAnsi"/>
              <w:bCs/>
              <w:color w:val="000000" w:themeColor="text1"/>
              <w:sz w:val="22"/>
              <w:szCs w:val="22"/>
            </w:rPr>
            <w:t xml:space="preserve">DOC NO: </w:t>
          </w:r>
          <w:r w:rsidR="005203DA">
            <w:rPr>
              <w:rFonts w:asciiTheme="minorHAnsi" w:hAnsiTheme="minorHAnsi" w:cstheme="minorHAnsi"/>
              <w:bCs/>
              <w:color w:val="000000" w:themeColor="text1"/>
              <w:sz w:val="22"/>
              <w:szCs w:val="22"/>
            </w:rPr>
            <w:t>1</w:t>
          </w:r>
        </w:p>
        <w:p w14:paraId="1CA8977C" w14:textId="5B92CA26" w:rsidR="0010032B" w:rsidRPr="00C7006B" w:rsidRDefault="0010032B" w:rsidP="00C7006B">
          <w:pPr>
            <w:pStyle w:val="BodyText"/>
            <w:spacing w:line="360" w:lineRule="auto"/>
            <w:jc w:val="left"/>
            <w:rPr>
              <w:rFonts w:asciiTheme="minorHAnsi" w:hAnsiTheme="minorHAnsi" w:cstheme="minorHAnsi"/>
              <w:bCs/>
              <w:color w:val="000000" w:themeColor="text1"/>
              <w:sz w:val="22"/>
              <w:szCs w:val="22"/>
            </w:rPr>
          </w:pPr>
          <w:r w:rsidRPr="00C7006B">
            <w:rPr>
              <w:rFonts w:asciiTheme="minorHAnsi" w:hAnsiTheme="minorHAnsi" w:cstheme="minorHAnsi"/>
              <w:bCs/>
              <w:color w:val="000000" w:themeColor="text1"/>
              <w:sz w:val="22"/>
              <w:szCs w:val="22"/>
            </w:rPr>
            <w:t xml:space="preserve">DATE OF ISSUE: </w:t>
          </w:r>
          <w:proofErr w:type="spellStart"/>
          <w:r w:rsidR="005203DA" w:rsidRPr="005203DA">
            <w:rPr>
              <w:rFonts w:asciiTheme="minorHAnsi" w:hAnsiTheme="minorHAnsi" w:cstheme="minorHAnsi"/>
              <w:bCs/>
              <w:color w:val="000000" w:themeColor="text1"/>
              <w:sz w:val="22"/>
              <w:szCs w:val="22"/>
              <w:highlight w:val="yellow"/>
            </w:rPr>
            <w:t>xxxxxx</w:t>
          </w:r>
          <w:proofErr w:type="spellEnd"/>
        </w:p>
        <w:p w14:paraId="0AC835F5" w14:textId="77777777" w:rsidR="0010032B" w:rsidRPr="00C7006B" w:rsidRDefault="0010032B" w:rsidP="00C7006B">
          <w:pPr>
            <w:spacing w:after="0" w:line="360" w:lineRule="auto"/>
            <w:rPr>
              <w:rFonts w:cstheme="minorHAnsi"/>
              <w:b/>
              <w:bCs/>
              <w:color w:val="000000" w:themeColor="text1"/>
            </w:rPr>
          </w:pPr>
          <w:r w:rsidRPr="00C7006B">
            <w:rPr>
              <w:rFonts w:cstheme="minorHAnsi"/>
              <w:bCs/>
              <w:color w:val="000000" w:themeColor="text1"/>
            </w:rPr>
            <w:t>REVISED DATE:</w:t>
          </w:r>
          <w:r w:rsidRPr="00C7006B">
            <w:rPr>
              <w:rFonts w:cstheme="minorHAnsi"/>
              <w:b/>
              <w:bCs/>
              <w:color w:val="000000" w:themeColor="text1"/>
            </w:rPr>
            <w:t xml:space="preserve"> N/A</w:t>
          </w:r>
        </w:p>
      </w:tc>
    </w:tr>
    <w:tr w:rsidR="0010032B" w:rsidRPr="00C7006B" w14:paraId="10138B0C" w14:textId="77777777" w:rsidTr="00C7006B">
      <w:trPr>
        <w:cantSplit/>
        <w:trHeight w:val="504"/>
      </w:trPr>
      <w:tc>
        <w:tcPr>
          <w:tcW w:w="144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29DAF1A" w14:textId="0DA3EBB1" w:rsidR="0010032B" w:rsidRPr="00C7006B" w:rsidRDefault="0010032B" w:rsidP="00C7006B">
          <w:pPr>
            <w:pStyle w:val="NoSpacing"/>
            <w:spacing w:line="360" w:lineRule="auto"/>
            <w:ind w:firstLine="1245"/>
            <w:jc w:val="center"/>
            <w:rPr>
              <w:rFonts w:asciiTheme="minorHAnsi" w:hAnsiTheme="minorHAnsi" w:cs="Calibri"/>
              <w:b/>
              <w:bCs/>
            </w:rPr>
          </w:pPr>
        </w:p>
      </w:tc>
      <w:tc>
        <w:tcPr>
          <w:tcW w:w="549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95A3CA" w14:textId="133D4593" w:rsidR="0010032B" w:rsidRPr="00C7006B" w:rsidRDefault="0010032B" w:rsidP="005203DA">
          <w:pPr>
            <w:pStyle w:val="Header"/>
            <w:jc w:val="center"/>
            <w:rPr>
              <w:rFonts w:cstheme="minorHAnsi"/>
              <w:bCs/>
              <w:color w:val="000000" w:themeColor="text1"/>
            </w:rPr>
          </w:pPr>
          <w:r w:rsidRPr="00C7006B">
            <w:rPr>
              <w:rFonts w:cstheme="minorHAnsi"/>
              <w:bCs/>
              <w:color w:val="000000" w:themeColor="text1"/>
            </w:rPr>
            <w:t>DOC</w:t>
          </w:r>
          <w:r w:rsidR="00C7006B" w:rsidRPr="00C7006B">
            <w:rPr>
              <w:rFonts w:cstheme="minorHAnsi"/>
              <w:bCs/>
              <w:color w:val="000000" w:themeColor="text1"/>
            </w:rPr>
            <w:t>UMENT</w:t>
          </w:r>
          <w:r w:rsidRPr="00C7006B">
            <w:rPr>
              <w:rFonts w:cstheme="minorHAnsi"/>
              <w:bCs/>
              <w:color w:val="000000" w:themeColor="text1"/>
            </w:rPr>
            <w:t xml:space="preserve"> TITLE</w:t>
          </w:r>
        </w:p>
        <w:p w14:paraId="696C1FF8" w14:textId="46E6BEB4" w:rsidR="0010032B" w:rsidRPr="005203DA" w:rsidRDefault="005203DA" w:rsidP="0075122E">
          <w:pPr>
            <w:pStyle w:val="BodyText"/>
            <w:spacing w:line="360" w:lineRule="auto"/>
            <w:jc w:val="center"/>
            <w:rPr>
              <w:rFonts w:ascii="Calibri" w:eastAsia="Calibri" w:hAnsi="Calibri"/>
              <w:b/>
              <w:bCs/>
              <w:sz w:val="32"/>
              <w:szCs w:val="32"/>
              <w:lang w:val="en-US"/>
            </w:rPr>
          </w:pPr>
          <w:r w:rsidRPr="004C3B15"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>M</w:t>
          </w:r>
          <w:r w:rsidR="0075122E"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 xml:space="preserve">ALWARE INCIDENT RESPONSE STANDARD OPERATING PROCEDURE </w:t>
          </w:r>
          <w:r w:rsidRPr="004C3B15">
            <w:rPr>
              <w:rFonts w:asciiTheme="minorHAnsi" w:hAnsiTheme="minorHAnsi" w:cstheme="minorHAnsi"/>
              <w:b/>
              <w:color w:val="000000" w:themeColor="text1"/>
              <w:sz w:val="22"/>
              <w:szCs w:val="22"/>
            </w:rPr>
            <w:t>(SOP)</w:t>
          </w:r>
        </w:p>
      </w:tc>
      <w:tc>
        <w:tcPr>
          <w:tcW w:w="378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6532DDF" w14:textId="70362D13" w:rsidR="0010032B" w:rsidRPr="00C7006B" w:rsidRDefault="0010032B" w:rsidP="00C7006B">
          <w:pPr>
            <w:spacing w:line="278" w:lineRule="auto"/>
            <w:rPr>
              <w:rFonts w:cstheme="minorHAnsi"/>
              <w:color w:val="000000" w:themeColor="text1"/>
              <w:sz w:val="24"/>
              <w:szCs w:val="24"/>
            </w:rPr>
          </w:pPr>
        </w:p>
      </w:tc>
    </w:tr>
  </w:tbl>
  <w:p w14:paraId="181DB0E8" w14:textId="77777777" w:rsidR="0010032B" w:rsidRDefault="00100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902F6"/>
    <w:multiLevelType w:val="hybridMultilevel"/>
    <w:tmpl w:val="61A43C9C"/>
    <w:lvl w:ilvl="0" w:tplc="794243BA">
      <w:start w:val="1"/>
      <w:numFmt w:val="decimal"/>
      <w:pStyle w:val="TOC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4EED"/>
    <w:multiLevelType w:val="multilevel"/>
    <w:tmpl w:val="661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94A5F"/>
    <w:multiLevelType w:val="multilevel"/>
    <w:tmpl w:val="CF0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B141C"/>
    <w:multiLevelType w:val="multilevel"/>
    <w:tmpl w:val="79C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E3414"/>
    <w:multiLevelType w:val="hybridMultilevel"/>
    <w:tmpl w:val="410AA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981404">
    <w:abstractNumId w:val="0"/>
  </w:num>
  <w:num w:numId="2" w16cid:durableId="1377239432">
    <w:abstractNumId w:val="3"/>
  </w:num>
  <w:num w:numId="3" w16cid:durableId="2139448653">
    <w:abstractNumId w:val="2"/>
  </w:num>
  <w:num w:numId="4" w16cid:durableId="624624498">
    <w:abstractNumId w:val="1"/>
  </w:num>
  <w:num w:numId="5" w16cid:durableId="9201758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2B"/>
    <w:rsid w:val="00067648"/>
    <w:rsid w:val="000B5821"/>
    <w:rsid w:val="000C4E47"/>
    <w:rsid w:val="0010032B"/>
    <w:rsid w:val="001666BA"/>
    <w:rsid w:val="00173F32"/>
    <w:rsid w:val="00180E20"/>
    <w:rsid w:val="001D5E8C"/>
    <w:rsid w:val="001D73AE"/>
    <w:rsid w:val="00243023"/>
    <w:rsid w:val="00265DBC"/>
    <w:rsid w:val="00295F81"/>
    <w:rsid w:val="00331D49"/>
    <w:rsid w:val="00386D2A"/>
    <w:rsid w:val="00392EE6"/>
    <w:rsid w:val="00403C1A"/>
    <w:rsid w:val="00424BD3"/>
    <w:rsid w:val="00450970"/>
    <w:rsid w:val="004A1C65"/>
    <w:rsid w:val="004B2BCB"/>
    <w:rsid w:val="004B2F06"/>
    <w:rsid w:val="004C06E4"/>
    <w:rsid w:val="004D41EB"/>
    <w:rsid w:val="005203DA"/>
    <w:rsid w:val="00521CE6"/>
    <w:rsid w:val="00527490"/>
    <w:rsid w:val="005529C7"/>
    <w:rsid w:val="00561AA1"/>
    <w:rsid w:val="007004B2"/>
    <w:rsid w:val="00717CA3"/>
    <w:rsid w:val="00726DCC"/>
    <w:rsid w:val="0075122E"/>
    <w:rsid w:val="00771DFC"/>
    <w:rsid w:val="007962AF"/>
    <w:rsid w:val="00810A24"/>
    <w:rsid w:val="0084786C"/>
    <w:rsid w:val="008564CF"/>
    <w:rsid w:val="008F36F5"/>
    <w:rsid w:val="00914ACE"/>
    <w:rsid w:val="009A5C62"/>
    <w:rsid w:val="009D2359"/>
    <w:rsid w:val="00A10974"/>
    <w:rsid w:val="00AD6051"/>
    <w:rsid w:val="00B47DEB"/>
    <w:rsid w:val="00B73FE6"/>
    <w:rsid w:val="00B90866"/>
    <w:rsid w:val="00BA32BE"/>
    <w:rsid w:val="00C7006B"/>
    <w:rsid w:val="00C80220"/>
    <w:rsid w:val="00CA7786"/>
    <w:rsid w:val="00D27F7C"/>
    <w:rsid w:val="00D66A95"/>
    <w:rsid w:val="00DA5F5F"/>
    <w:rsid w:val="00DF5E3C"/>
    <w:rsid w:val="00E65ADF"/>
    <w:rsid w:val="00E83F9E"/>
    <w:rsid w:val="00EF1621"/>
    <w:rsid w:val="00F22DFE"/>
    <w:rsid w:val="00F469E1"/>
    <w:rsid w:val="00FE15E5"/>
    <w:rsid w:val="00F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0EDB3"/>
  <w15:chartTrackingRefBased/>
  <w15:docId w15:val="{76E4CE55-A539-4C24-A12E-3411BC3D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2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0032B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032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7F7C"/>
    <w:pPr>
      <w:numPr>
        <w:numId w:val="1"/>
      </w:numPr>
      <w:tabs>
        <w:tab w:val="left" w:pos="567"/>
      </w:tabs>
      <w:spacing w:after="0" w:line="360" w:lineRule="auto"/>
      <w:jc w:val="both"/>
    </w:pPr>
    <w:rPr>
      <w:rFonts w:eastAsiaTheme="minorEastAsia" w:cstheme="minorHAnsi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032B"/>
    <w:pPr>
      <w:tabs>
        <w:tab w:val="left" w:pos="567"/>
      </w:tabs>
      <w:spacing w:after="0" w:line="360" w:lineRule="auto"/>
      <w:jc w:val="lowKashida"/>
    </w:pPr>
    <w:rPr>
      <w:rFonts w:eastAsiaTheme="minorEastAsia" w:cstheme="minorHAnsi"/>
      <w:kern w:val="0"/>
      <w14:ligatures w14:val="none"/>
    </w:rPr>
  </w:style>
  <w:style w:type="paragraph" w:styleId="Header">
    <w:name w:val="header"/>
    <w:basedOn w:val="Normal"/>
    <w:link w:val="HeaderChar"/>
    <w:unhideWhenUsed/>
    <w:rsid w:val="0010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0032B"/>
    <w:rPr>
      <w:sz w:val="22"/>
      <w:szCs w:val="22"/>
      <w:lang w:val="en-GB"/>
    </w:rPr>
  </w:style>
  <w:style w:type="paragraph" w:styleId="BodyText">
    <w:name w:val="Body Text"/>
    <w:basedOn w:val="Normal"/>
    <w:link w:val="BodyTextChar"/>
    <w:rsid w:val="0010032B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10032B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2B"/>
    <w:rPr>
      <w:sz w:val="22"/>
      <w:szCs w:val="22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D27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7F7C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27F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2BE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FE15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5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074F74109194A98886364AC588809" ma:contentTypeVersion="17" ma:contentTypeDescription="Create a new document." ma:contentTypeScope="" ma:versionID="a5b47b42a5c4f71717f7aebc30cc79b8">
  <xsd:schema xmlns:xsd="http://www.w3.org/2001/XMLSchema" xmlns:xs="http://www.w3.org/2001/XMLSchema" xmlns:p="http://schemas.microsoft.com/office/2006/metadata/properties" xmlns:ns2="abeab3fb-f104-4393-8e3c-850060f5d0c0" xmlns:ns3="fe63e0cf-dea0-4b46-bb07-3cf9f06e4811" targetNamespace="http://schemas.microsoft.com/office/2006/metadata/properties" ma:root="true" ma:fieldsID="182d94b594c5944e0da8efc5aa5cd4e2" ns2:_="" ns3:_="">
    <xsd:import namespace="abeab3fb-f104-4393-8e3c-850060f5d0c0"/>
    <xsd:import namespace="fe63e0cf-dea0-4b46-bb07-3cf9f06e4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ab3fb-f104-4393-8e3c-850060f5d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fa083a0-87db-46bf-9008-43d52b27e8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3e0cf-dea0-4b46-bb07-3cf9f06e4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39fb748-b923-4c51-bec2-26c2f70c9d56}" ma:internalName="TaxCatchAll" ma:showField="CatchAllData" ma:web="fe63e0cf-dea0-4b46-bb07-3cf9f06e48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eab3fb-f104-4393-8e3c-850060f5d0c0">
      <Terms xmlns="http://schemas.microsoft.com/office/infopath/2007/PartnerControls"/>
    </lcf76f155ced4ddcb4097134ff3c332f>
    <TaxCatchAll xmlns="fe63e0cf-dea0-4b46-bb07-3cf9f06e4811" xsi:nil="true"/>
  </documentManagement>
</p:properties>
</file>

<file path=customXml/itemProps1.xml><?xml version="1.0" encoding="utf-8"?>
<ds:datastoreItem xmlns:ds="http://schemas.openxmlformats.org/officeDocument/2006/customXml" ds:itemID="{D0BB72CF-9853-48DF-9DAE-F17EF6AE2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011E7-A016-45EE-9449-EBD3D69A41AB}"/>
</file>

<file path=customXml/itemProps3.xml><?xml version="1.0" encoding="utf-8"?>
<ds:datastoreItem xmlns:ds="http://schemas.openxmlformats.org/officeDocument/2006/customXml" ds:itemID="{041E5759-81D9-4A47-8C8B-F0D965AAB72A}">
  <ds:schemaRefs>
    <ds:schemaRef ds:uri="http://schemas.microsoft.com/office/2006/metadata/properties"/>
    <ds:schemaRef ds:uri="http://schemas.microsoft.com/office/infopath/2007/PartnerControls"/>
    <ds:schemaRef ds:uri="abeab3fb-f104-4393-8e3c-850060f5d0c0"/>
    <ds:schemaRef ds:uri="fe63e0cf-dea0-4b46-bb07-3cf9f06e48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Abimbola Olowookere</dc:creator>
  <cp:keywords/>
  <dc:description/>
  <cp:lastModifiedBy>Ubong Dennis Nkanga</cp:lastModifiedBy>
  <cp:revision>9</cp:revision>
  <dcterms:created xsi:type="dcterms:W3CDTF">2025-06-10T14:27:00Z</dcterms:created>
  <dcterms:modified xsi:type="dcterms:W3CDTF">2025-06-19T11:44:00Z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0x010100EF4074F74109194A98886364AC588809</vt:lpwstr>
  </property>
</Properties>
</file>