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CA" w:rsidRPr="000654CA" w:rsidRDefault="000654CA" w:rsidP="000654CA">
      <w:pPr>
        <w:shd w:val="clear" w:color="auto" w:fill="FFFFFF"/>
        <w:spacing w:before="140" w:after="80" w:line="240" w:lineRule="auto"/>
        <w:outlineLvl w:val="1"/>
        <w:rPr>
          <w:rFonts w:ascii="Arial" w:eastAsia="Times New Roman" w:hAnsi="Arial" w:cs="Arial"/>
          <w:b/>
          <w:bCs/>
          <w:color w:val="333333"/>
          <w:u w:val="single"/>
          <w:lang w:eastAsia="de-DE"/>
        </w:rPr>
      </w:pPr>
      <w:r w:rsidRPr="000654CA">
        <w:rPr>
          <w:rFonts w:ascii="Arial" w:eastAsia="Times New Roman" w:hAnsi="Arial" w:cs="Arial"/>
          <w:b/>
          <w:bCs/>
          <w:color w:val="333333"/>
          <w:u w:val="single"/>
          <w:lang w:eastAsia="de-DE"/>
        </w:rPr>
        <w:t>CD als Reflexionsgitter</w:t>
      </w:r>
    </w:p>
    <w:p w:rsidR="000654CA" w:rsidRPr="000654CA" w:rsidRDefault="000654CA" w:rsidP="000654CA">
      <w:pPr>
        <w:shd w:val="clear" w:color="auto" w:fill="FFFFFF"/>
        <w:spacing w:before="200" w:after="8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de-DE"/>
        </w:rPr>
      </w:pPr>
      <w:r w:rsidRPr="000654CA">
        <w:rPr>
          <w:rFonts w:ascii="Arial" w:eastAsia="Times New Roman" w:hAnsi="Arial" w:cs="Arial"/>
          <w:b/>
          <w:bCs/>
          <w:color w:val="333333"/>
          <w:sz w:val="18"/>
          <w:szCs w:val="18"/>
          <w:lang w:eastAsia="de-DE"/>
        </w:rPr>
        <w:t>Die CD als Reflexionsgitter - Bestimmung des Spurabstandes</w:t>
      </w:r>
    </w:p>
    <w:p w:rsidR="000654CA" w:rsidRPr="000654CA" w:rsidRDefault="000654CA" w:rsidP="000654CA">
      <w:pPr>
        <w:shd w:val="clear" w:color="auto" w:fill="FFFFFF"/>
        <w:spacing w:before="120" w:after="120" w:line="180" w:lineRule="atLeast"/>
        <w:rPr>
          <w:rFonts w:ascii="Arial" w:eastAsia="Times New Roman" w:hAnsi="Arial" w:cs="Arial"/>
          <w:color w:val="333333"/>
          <w:sz w:val="14"/>
          <w:szCs w:val="14"/>
          <w:lang w:eastAsia="de-DE"/>
        </w:rPr>
      </w:pPr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Eine CD weist eine durchgängige, spiralförmige Rille wie die einer Langspielplatte auf. Bei Lichteinfall auf eine CD-Unterseite wirkt diese wie ein</w:t>
      </w:r>
      <w:r w:rsidRPr="00063C52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 Reflexions-Phasengitter</w:t>
      </w:r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:</w:t>
      </w:r>
      <w:r w:rsidR="002846F3">
        <w:rPr>
          <w:rFonts w:ascii="Arial" w:eastAsia="Times New Roman" w:hAnsi="Arial" w:cs="Arial"/>
          <w:color w:val="333333"/>
          <w:sz w:val="14"/>
          <w:szCs w:val="14"/>
          <w:lang w:eastAsia="de-DE"/>
        </w:rPr>
        <w:t xml:space="preserve"> </w:t>
      </w:r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 xml:space="preserve">Die </w:t>
      </w:r>
      <w:proofErr w:type="spellStart"/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pits</w:t>
      </w:r>
      <w:proofErr w:type="spellEnd"/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 xml:space="preserve"> und </w:t>
      </w:r>
      <w:proofErr w:type="spellStart"/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lands</w:t>
      </w:r>
      <w:proofErr w:type="spellEnd"/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 xml:space="preserve"> (Vertiefungen und Erhöhungen) in einer einzelnen Spurrille reflektieren das Licht (Reflexionsschicht auf der CD Oberseite!), eine Spur wirkt also im Längsschnitt betrachtet wie die </w:t>
      </w:r>
      <w:r w:rsidR="002846F3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der Spalt</w:t>
      </w:r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 xml:space="preserve"> eines Beugungsgitters als kohärente Punktlichtquelle.</w:t>
      </w:r>
    </w:p>
    <w:p w:rsidR="000654CA" w:rsidRPr="000654CA" w:rsidRDefault="000654CA" w:rsidP="000654CA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4"/>
          <w:szCs w:val="14"/>
          <w:lang w:eastAsia="de-DE"/>
        </w:rPr>
      </w:pPr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Die Spuren einer CD verlaufen in einem festen Abstand</w:t>
      </w:r>
      <w:r>
        <w:rPr>
          <w:rFonts w:ascii="MathJax_Main" w:eastAsia="Times New Roman" w:hAnsi="MathJax_Main" w:cs="Times New Roman"/>
          <w:color w:val="333333"/>
          <w:sz w:val="18"/>
          <w:lang w:eastAsia="de-DE"/>
        </w:rPr>
        <w:t xml:space="preserve"> g</w:t>
      </w:r>
      <w:r w:rsidRPr="000654CA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, der somit unserer Gitterkonstanten entspricht.</w:t>
      </w:r>
    </w:p>
    <w:p w:rsidR="000654CA" w:rsidRPr="000654CA" w:rsidRDefault="000654CA" w:rsidP="000654C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2"/>
          <w:szCs w:val="12"/>
          <w:lang w:eastAsia="de-DE"/>
        </w:rPr>
      </w:pPr>
      <w:bookmarkStart w:id="0" w:name="object_1"/>
      <w:bookmarkEnd w:id="0"/>
      <w:r>
        <w:rPr>
          <w:rFonts w:ascii="Arial" w:eastAsia="Times New Roman" w:hAnsi="Arial" w:cs="Arial"/>
          <w:noProof/>
          <w:color w:val="333333"/>
          <w:sz w:val="12"/>
          <w:szCs w:val="12"/>
          <w:lang w:eastAsia="de-DE"/>
        </w:rPr>
        <w:drawing>
          <wp:inline distT="0" distB="0" distL="0" distR="0">
            <wp:extent cx="2843725" cy="1987550"/>
            <wp:effectExtent l="0" t="0" r="0" b="0"/>
            <wp:docPr id="1" name="object_1" descr="http://www.chemgapedia.de/vsengine/media/vsc/de/ph/14/ep/einfuehrung/wellenoptik/bilder/sk7_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1" descr="http://www.chemgapedia.de/vsengine/media/vsc/de/ph/14/ep/einfuehrung/wellenoptik/bilder/sk7_8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2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CA" w:rsidRPr="000654CA" w:rsidRDefault="000654CA" w:rsidP="000654CA">
      <w:pPr>
        <w:shd w:val="clear" w:color="auto" w:fill="FFFFFF"/>
        <w:spacing w:after="0" w:line="180" w:lineRule="atLeast"/>
        <w:ind w:left="720"/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</w:pP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t>Die Spu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ren einer Com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pact Disc</w:t>
      </w:r>
    </w:p>
    <w:p w:rsidR="000654CA" w:rsidRDefault="000654CA" w:rsidP="000654CA">
      <w:pPr>
        <w:shd w:val="clear" w:color="auto" w:fill="FFFFFF"/>
        <w:spacing w:after="0" w:line="180" w:lineRule="atLeast"/>
        <w:rPr>
          <w:rFonts w:ascii="Arial" w:eastAsia="Times New Roman" w:hAnsi="Arial" w:cs="Arial"/>
          <w:b/>
          <w:bCs/>
          <w:color w:val="333333"/>
          <w:sz w:val="14"/>
          <w:lang w:eastAsia="de-DE"/>
        </w:rPr>
      </w:pPr>
    </w:p>
    <w:p w:rsidR="000654CA" w:rsidRPr="000654CA" w:rsidRDefault="000654CA" w:rsidP="000654CA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4"/>
          <w:szCs w:val="14"/>
          <w:lang w:eastAsia="de-DE"/>
        </w:rPr>
      </w:pPr>
      <w:r w:rsidRPr="000654CA">
        <w:rPr>
          <w:rFonts w:ascii="Arial" w:eastAsia="Times New Roman" w:hAnsi="Arial" w:cs="Arial"/>
          <w:b/>
          <w:bCs/>
          <w:color w:val="333333"/>
          <w:sz w:val="14"/>
          <w:lang w:eastAsia="de-DE"/>
        </w:rPr>
        <w:t>Diesen Spurabstand </w:t>
      </w:r>
      <w:r w:rsidR="00743103">
        <w:rPr>
          <w:rFonts w:ascii="Arial" w:eastAsia="Times New Roman" w:hAnsi="Arial" w:cs="Arial"/>
          <w:b/>
          <w:bCs/>
          <w:color w:val="333333"/>
          <w:sz w:val="14"/>
          <w:lang w:eastAsia="de-DE"/>
        </w:rPr>
        <w:t>g</w:t>
      </w:r>
      <w:r w:rsidRPr="000654CA">
        <w:rPr>
          <w:rFonts w:ascii="Arial" w:eastAsia="Times New Roman" w:hAnsi="Arial" w:cs="Arial"/>
          <w:b/>
          <w:bCs/>
          <w:color w:val="333333"/>
          <w:sz w:val="14"/>
          <w:lang w:eastAsia="de-DE"/>
        </w:rPr>
        <w:t> wollen wir nun einmal näherungsweise bestimmen</w:t>
      </w:r>
      <w:r w:rsidR="00743103">
        <w:rPr>
          <w:rFonts w:ascii="Arial" w:eastAsia="Times New Roman" w:hAnsi="Arial" w:cs="Arial"/>
          <w:color w:val="333333"/>
          <w:sz w:val="14"/>
          <w:szCs w:val="14"/>
          <w:lang w:eastAsia="de-DE"/>
        </w:rPr>
        <w:t>:</w:t>
      </w:r>
    </w:p>
    <w:p w:rsidR="000654CA" w:rsidRPr="000654CA" w:rsidRDefault="000654CA" w:rsidP="000654C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2"/>
          <w:szCs w:val="12"/>
          <w:lang w:eastAsia="de-DE"/>
        </w:rPr>
      </w:pPr>
      <w:bookmarkStart w:id="1" w:name="object_2"/>
      <w:bookmarkEnd w:id="1"/>
      <w:r>
        <w:rPr>
          <w:rFonts w:ascii="Arial" w:eastAsia="Times New Roman" w:hAnsi="Arial" w:cs="Arial"/>
          <w:noProof/>
          <w:color w:val="333333"/>
          <w:sz w:val="12"/>
          <w:szCs w:val="12"/>
          <w:lang w:eastAsia="de-DE"/>
        </w:rPr>
        <w:drawing>
          <wp:inline distT="0" distB="0" distL="0" distR="0">
            <wp:extent cx="1629071" cy="1720850"/>
            <wp:effectExtent l="0" t="0" r="9229" b="0"/>
            <wp:docPr id="2" name="object_2" descr="http://www.chemgapedia.de/vsengine/media/vsc/de/ph/14/ep/einfuehrung/wellenoptik/bilder/sk7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2" descr="http://www.chemgapedia.de/vsengine/media/vsc/de/ph/14/ep/einfuehrung/wellenoptik/bilder/sk7_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279" cy="172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CA" w:rsidRPr="000654CA" w:rsidRDefault="000654CA" w:rsidP="002846F3">
      <w:pPr>
        <w:shd w:val="clear" w:color="auto" w:fill="FFFFFF"/>
        <w:spacing w:after="0" w:line="180" w:lineRule="atLeast"/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</w:pP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t xml:space="preserve">Zur Lage der </w:t>
      </w:r>
      <w:proofErr w:type="spellStart"/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t>Beu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gungs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ma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xi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ma</w:t>
      </w:r>
      <w:proofErr w:type="spellEnd"/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t xml:space="preserve"> einer CD bei senk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rech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tem Licht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ein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fall</w:t>
      </w:r>
    </w:p>
    <w:p w:rsidR="000654CA" w:rsidRDefault="000654CA">
      <w:pPr>
        <w:rPr>
          <w:rFonts w:ascii="Georgia" w:eastAsia="Times New Roman" w:hAnsi="Georgia" w:cs="Arial"/>
          <w:i/>
          <w:iCs/>
          <w:color w:val="666666"/>
          <w:sz w:val="11"/>
          <w:lang w:eastAsia="de-DE"/>
        </w:rPr>
      </w:pPr>
      <w:bookmarkStart w:id="2" w:name="object_3"/>
      <w:bookmarkEnd w:id="2"/>
    </w:p>
    <w:p w:rsidR="000654CA" w:rsidRPr="000654CA" w:rsidRDefault="000654CA" w:rsidP="00743103">
      <w:pPr>
        <w:shd w:val="clear" w:color="auto" w:fill="FFFFFF"/>
        <w:spacing w:after="0" w:line="180" w:lineRule="atLeast"/>
        <w:rPr>
          <w:rFonts w:ascii="Arial" w:eastAsia="Times New Roman" w:hAnsi="Arial" w:cs="Arial"/>
          <w:b/>
          <w:bCs/>
          <w:color w:val="333333"/>
          <w:sz w:val="14"/>
          <w:lang w:eastAsia="de-DE"/>
        </w:rPr>
      </w:pPr>
      <w:r w:rsidRPr="00743103">
        <w:rPr>
          <w:rFonts w:ascii="Arial" w:eastAsia="Times New Roman" w:hAnsi="Arial" w:cs="Arial"/>
          <w:b/>
          <w:bCs/>
          <w:color w:val="333333"/>
          <w:sz w:val="14"/>
          <w:lang w:eastAsia="de-DE"/>
        </w:rPr>
        <w:t xml:space="preserve">Mithilfe der folgenden Anordnung soll nun der Spurabstand </w:t>
      </w:r>
      <w:r w:rsidR="00743103" w:rsidRPr="00743103">
        <w:rPr>
          <w:rFonts w:ascii="Arial" w:eastAsia="Times New Roman" w:hAnsi="Arial" w:cs="Arial"/>
          <w:b/>
          <w:bCs/>
          <w:color w:val="333333"/>
          <w:sz w:val="14"/>
          <w:lang w:eastAsia="de-DE"/>
        </w:rPr>
        <w:t xml:space="preserve">g </w:t>
      </w:r>
      <w:r w:rsidRPr="00743103">
        <w:rPr>
          <w:rFonts w:ascii="Arial" w:eastAsia="Times New Roman" w:hAnsi="Arial" w:cs="Arial"/>
          <w:b/>
          <w:bCs/>
          <w:color w:val="333333"/>
          <w:sz w:val="14"/>
          <w:lang w:eastAsia="de-DE"/>
        </w:rPr>
        <w:t>einer CD</w:t>
      </w:r>
      <w:r w:rsidR="00743103" w:rsidRPr="00743103">
        <w:rPr>
          <w:rFonts w:ascii="Arial" w:eastAsia="Times New Roman" w:hAnsi="Arial" w:cs="Arial"/>
          <w:b/>
          <w:bCs/>
          <w:color w:val="333333"/>
          <w:sz w:val="14"/>
          <w:lang w:eastAsia="de-DE"/>
        </w:rPr>
        <w:t xml:space="preserve"> bestimmt werden:</w:t>
      </w:r>
    </w:p>
    <w:p w:rsidR="000654CA" w:rsidRPr="000654CA" w:rsidRDefault="000654CA" w:rsidP="000654C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2"/>
          <w:szCs w:val="12"/>
          <w:lang w:eastAsia="de-DE"/>
        </w:rPr>
      </w:pPr>
      <w:bookmarkStart w:id="3" w:name="object_4"/>
      <w:bookmarkEnd w:id="3"/>
      <w:r>
        <w:rPr>
          <w:rFonts w:ascii="Arial" w:eastAsia="Times New Roman" w:hAnsi="Arial" w:cs="Arial"/>
          <w:noProof/>
          <w:color w:val="333333"/>
          <w:sz w:val="12"/>
          <w:szCs w:val="12"/>
          <w:lang w:eastAsia="de-DE"/>
        </w:rPr>
        <w:drawing>
          <wp:inline distT="0" distB="0" distL="0" distR="0">
            <wp:extent cx="3670300" cy="3105638"/>
            <wp:effectExtent l="0" t="0" r="0" b="0"/>
            <wp:docPr id="3" name="object_4" descr="http://www.chemgapedia.de/vsengine/media/vsc/de/ph/14/ep/einfuehrung/wellenoptik/bilder/sk7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4" descr="http://www.chemgapedia.de/vsengine/media/vsc/de/ph/14/ep/einfuehrung/wellenoptik/bilder/sk7_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63" cy="31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F3" w:rsidRDefault="000654CA" w:rsidP="000654CA">
      <w:pPr>
        <w:shd w:val="clear" w:color="auto" w:fill="FFFFFF"/>
        <w:spacing w:after="0" w:line="180" w:lineRule="atLeast"/>
        <w:ind w:left="720"/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</w:pP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t>Sche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ma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ti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 xml:space="preserve">sche </w:t>
      </w:r>
      <w:proofErr w:type="spellStart"/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t>Ver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suchs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auf</w:t>
      </w:r>
      <w:r w:rsidRPr="000654CA"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softHyphen/>
        <w:t>bau</w:t>
      </w:r>
      <w:proofErr w:type="spellEnd"/>
    </w:p>
    <w:p w:rsidR="002846F3" w:rsidRDefault="002846F3">
      <w:pPr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12"/>
          <w:szCs w:val="12"/>
          <w:lang w:eastAsia="de-DE"/>
        </w:rPr>
        <w:br w:type="page"/>
      </w:r>
    </w:p>
    <w:p w:rsidR="00743103" w:rsidRDefault="002846F3" w:rsidP="00743103">
      <w:pPr>
        <w:jc w:val="both"/>
      </w:pPr>
      <w:r>
        <w:lastRenderedPageBreak/>
        <w:t>Bestimme die Größen s, h</w:t>
      </w:r>
      <w:r w:rsidR="00743103">
        <w:t xml:space="preserve"> und d </w:t>
      </w:r>
      <w:r w:rsidR="005C5ADA">
        <w:t xml:space="preserve">für eine Spektralfarbe (bietet sich eine gut an?) </w:t>
      </w:r>
      <w:r w:rsidR="00743103">
        <w:t>und schätze damit den Spurabstand einer CD ab.</w:t>
      </w:r>
    </w:p>
    <w:p w:rsidR="00743103" w:rsidRDefault="00743103" w:rsidP="00743103">
      <w:pPr>
        <w:jc w:val="both"/>
      </w:pPr>
      <w:r>
        <w:t>s=___________</w:t>
      </w:r>
      <w:r>
        <w:tab/>
      </w:r>
      <w:r>
        <w:tab/>
        <w:t>h=___________</w:t>
      </w:r>
      <w:r>
        <w:tab/>
      </w:r>
      <w:r>
        <w:tab/>
        <w:t>d=___________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743103" w:rsidTr="002846F3">
        <w:trPr>
          <w:trHeight w:val="397"/>
        </w:trPr>
        <w:tc>
          <w:tcPr>
            <w:tcW w:w="9212" w:type="dxa"/>
            <w:tcBorders>
              <w:top w:val="nil"/>
              <w:left w:val="nil"/>
              <w:right w:val="nil"/>
            </w:tcBorders>
            <w:vAlign w:val="center"/>
          </w:tcPr>
          <w:p w:rsidR="00743103" w:rsidRDefault="005C5ADA" w:rsidP="005C5ADA">
            <w:r>
              <w:t>Wegunterschied:</w:t>
            </w:r>
          </w:p>
        </w:tc>
      </w:tr>
      <w:tr w:rsidR="00743103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743103" w:rsidRDefault="005C5ADA" w:rsidP="005C5ADA">
            <w:proofErr w:type="spellStart"/>
            <w:r>
              <w:t>Maximumsbedingung</w:t>
            </w:r>
            <w:proofErr w:type="spellEnd"/>
            <w:r>
              <w:t>:</w:t>
            </w:r>
          </w:p>
        </w:tc>
      </w:tr>
      <w:tr w:rsidR="00743103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743103" w:rsidRDefault="00743103" w:rsidP="005C5ADA"/>
        </w:tc>
      </w:tr>
      <w:tr w:rsidR="00743103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743103" w:rsidRDefault="00743103" w:rsidP="005C5ADA"/>
        </w:tc>
      </w:tr>
      <w:tr w:rsidR="005C5ADA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5C5ADA" w:rsidRDefault="005C5ADA" w:rsidP="005C5ADA"/>
        </w:tc>
      </w:tr>
      <w:tr w:rsidR="005C5ADA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5C5ADA" w:rsidRDefault="005C5ADA" w:rsidP="005C5ADA"/>
        </w:tc>
      </w:tr>
      <w:tr w:rsidR="005C5ADA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5C5ADA" w:rsidRDefault="005C5ADA" w:rsidP="005C5ADA"/>
        </w:tc>
      </w:tr>
      <w:tr w:rsidR="005C5ADA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5C5ADA" w:rsidRDefault="005C5ADA" w:rsidP="005C5ADA"/>
        </w:tc>
      </w:tr>
      <w:tr w:rsidR="003E0828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3E0828" w:rsidRDefault="003E0828" w:rsidP="005C5ADA"/>
        </w:tc>
      </w:tr>
      <w:tr w:rsidR="002846F3" w:rsidTr="005C5AD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  <w:vAlign w:val="center"/>
          </w:tcPr>
          <w:p w:rsidR="002846F3" w:rsidRDefault="002846F3" w:rsidP="005C5ADA"/>
        </w:tc>
      </w:tr>
    </w:tbl>
    <w:p w:rsidR="00B70EFB" w:rsidRDefault="00B70EFB" w:rsidP="00743103"/>
    <w:p w:rsidR="000654CA" w:rsidRPr="00743103" w:rsidRDefault="000654CA" w:rsidP="00743103">
      <w:r w:rsidRPr="00743103">
        <w:t>Wie ließe sich dieser Versuch noch verbessern</w:t>
      </w:r>
      <w:r w:rsidR="005C5ADA">
        <w:t xml:space="preserve"> um präzisere Ergebnisse zu erzielen</w:t>
      </w:r>
      <w:r w:rsidRPr="00743103">
        <w:t>?</w:t>
      </w:r>
    </w:p>
    <w:p w:rsidR="000654CA" w:rsidRDefault="000654CA" w:rsidP="000654CA">
      <w:pPr>
        <w:shd w:val="clear" w:color="auto" w:fill="FFFFFF"/>
        <w:spacing w:before="120" w:after="120" w:line="180" w:lineRule="atLeast"/>
        <w:rPr>
          <w:rFonts w:ascii="Arial" w:eastAsia="Times New Roman" w:hAnsi="Arial" w:cs="Arial"/>
          <w:color w:val="333333"/>
          <w:sz w:val="14"/>
          <w:szCs w:val="14"/>
          <w:lang w:eastAsia="de-DE"/>
        </w:rPr>
      </w:pPr>
    </w:p>
    <w:tbl>
      <w:tblPr>
        <w:tblStyle w:val="Tabellengitternetz"/>
        <w:tblW w:w="0" w:type="auto"/>
        <w:tblLook w:val="04A0"/>
      </w:tblPr>
      <w:tblGrid>
        <w:gridCol w:w="9212"/>
      </w:tblGrid>
      <w:tr w:rsidR="000654CA" w:rsidTr="000654C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0654CA" w:rsidRDefault="000654CA"/>
        </w:tc>
      </w:tr>
      <w:tr w:rsidR="000654CA" w:rsidTr="000654C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0654CA" w:rsidRDefault="000654CA"/>
        </w:tc>
      </w:tr>
      <w:tr w:rsidR="003E0828" w:rsidTr="000654CA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3E0828" w:rsidRDefault="003E0828"/>
        </w:tc>
      </w:tr>
    </w:tbl>
    <w:p w:rsidR="00743103" w:rsidRDefault="00743103"/>
    <w:p w:rsidR="002846F3" w:rsidRDefault="00B70EFB" w:rsidP="00B70EFB">
      <w:r>
        <w:t>Wie lässt sich die Entstehung der Farbe Magenta (keine Spektralfarbe) erklären, die im Spektrum zu finden ist?</w:t>
      </w:r>
      <w:r w:rsidR="002846F3">
        <w:br/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B70EFB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B70EFB" w:rsidRDefault="00B70EFB" w:rsidP="00B71812"/>
        </w:tc>
      </w:tr>
      <w:tr w:rsidR="00B70EFB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B70EFB" w:rsidRDefault="00B70EFB" w:rsidP="00B71812"/>
        </w:tc>
      </w:tr>
      <w:tr w:rsidR="00B70EFB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B70EFB" w:rsidRDefault="00B70EFB" w:rsidP="00B71812"/>
        </w:tc>
      </w:tr>
      <w:tr w:rsidR="00B70EFB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B70EFB" w:rsidRDefault="00B70EFB" w:rsidP="00B71812"/>
        </w:tc>
      </w:tr>
      <w:tr w:rsidR="002846F3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2846F3" w:rsidRDefault="002846F3" w:rsidP="00B71812"/>
        </w:tc>
      </w:tr>
    </w:tbl>
    <w:p w:rsidR="00B70EFB" w:rsidRDefault="00B70EFB"/>
    <w:p w:rsidR="002846F3" w:rsidRDefault="00743103">
      <w:r>
        <w:t>Was beobachtet man bei der Verwendung einer DVD statt einer CD?</w:t>
      </w:r>
      <w:r w:rsidR="002846F3">
        <w:br/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743103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743103" w:rsidRDefault="00743103" w:rsidP="00B71812"/>
        </w:tc>
      </w:tr>
      <w:tr w:rsidR="00743103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743103" w:rsidRDefault="00743103" w:rsidP="00B71812"/>
        </w:tc>
      </w:tr>
      <w:tr w:rsidR="00743103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743103" w:rsidRDefault="00743103" w:rsidP="00B71812"/>
        </w:tc>
      </w:tr>
      <w:tr w:rsidR="00743103" w:rsidTr="00B71812">
        <w:trPr>
          <w:trHeight w:val="397"/>
        </w:trPr>
        <w:tc>
          <w:tcPr>
            <w:tcW w:w="9212" w:type="dxa"/>
            <w:tcBorders>
              <w:left w:val="nil"/>
              <w:right w:val="nil"/>
            </w:tcBorders>
          </w:tcPr>
          <w:p w:rsidR="00743103" w:rsidRDefault="00743103" w:rsidP="00B71812"/>
        </w:tc>
      </w:tr>
    </w:tbl>
    <w:p w:rsidR="00743103" w:rsidRDefault="00743103"/>
    <w:sectPr w:rsidR="00743103" w:rsidSect="002846F3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0654CA"/>
    <w:rsid w:val="00063C52"/>
    <w:rsid w:val="000654CA"/>
    <w:rsid w:val="002846F3"/>
    <w:rsid w:val="003B755C"/>
    <w:rsid w:val="003E0828"/>
    <w:rsid w:val="005C5ADA"/>
    <w:rsid w:val="00643A86"/>
    <w:rsid w:val="00743103"/>
    <w:rsid w:val="00AD185A"/>
    <w:rsid w:val="00B7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3103"/>
  </w:style>
  <w:style w:type="paragraph" w:styleId="berschrift2">
    <w:name w:val="heading 2"/>
    <w:basedOn w:val="Standard"/>
    <w:link w:val="berschrift2Zchn"/>
    <w:uiPriority w:val="9"/>
    <w:qFormat/>
    <w:rsid w:val="00065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065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654C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54C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6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654CA"/>
  </w:style>
  <w:style w:type="character" w:customStyle="1" w:styleId="mtext">
    <w:name w:val="mtext"/>
    <w:basedOn w:val="Absatz-Standardschriftart"/>
    <w:rsid w:val="000654CA"/>
  </w:style>
  <w:style w:type="character" w:styleId="Hyperlink">
    <w:name w:val="Hyperlink"/>
    <w:basedOn w:val="Absatz-Standardschriftart"/>
    <w:uiPriority w:val="99"/>
    <w:semiHidden/>
    <w:unhideWhenUsed/>
    <w:rsid w:val="000654CA"/>
    <w:rPr>
      <w:color w:val="0000FF"/>
      <w:u w:val="single"/>
    </w:rPr>
  </w:style>
  <w:style w:type="character" w:customStyle="1" w:styleId="pageref">
    <w:name w:val="pageref"/>
    <w:basedOn w:val="Absatz-Standardschriftart"/>
    <w:rsid w:val="000654CA"/>
  </w:style>
  <w:style w:type="character" w:customStyle="1" w:styleId="important">
    <w:name w:val="important"/>
    <w:basedOn w:val="Absatz-Standardschriftart"/>
    <w:rsid w:val="000654CA"/>
  </w:style>
  <w:style w:type="character" w:customStyle="1" w:styleId="mi">
    <w:name w:val="mi"/>
    <w:basedOn w:val="Absatz-Standardschriftart"/>
    <w:rsid w:val="000654CA"/>
  </w:style>
  <w:style w:type="character" w:customStyle="1" w:styleId="mo">
    <w:name w:val="mo"/>
    <w:basedOn w:val="Absatz-Standardschriftart"/>
    <w:rsid w:val="000654CA"/>
  </w:style>
  <w:style w:type="character" w:customStyle="1" w:styleId="mn">
    <w:name w:val="mn"/>
    <w:basedOn w:val="Absatz-Standardschriftart"/>
    <w:rsid w:val="000654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54CA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65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07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358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48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2</cp:revision>
  <dcterms:created xsi:type="dcterms:W3CDTF">2014-06-29T14:30:00Z</dcterms:created>
  <dcterms:modified xsi:type="dcterms:W3CDTF">2014-06-29T16:15:00Z</dcterms:modified>
</cp:coreProperties>
</file>