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D3D89F" w14:textId="77777777" w:rsidR="007A75C7" w:rsidRDefault="00000000">
      <w:pPr>
        <w:pStyle w:val="berschrift1"/>
      </w:pPr>
      <w:r>
        <w:t>Anhang</w:t>
      </w:r>
    </w:p>
    <w:p w14:paraId="70CC7AD3" w14:textId="65D60ADC" w:rsidR="007A75C7" w:rsidRDefault="00000000">
      <w:pPr>
        <w:pStyle w:val="berschrift2"/>
      </w:pPr>
      <w:r>
        <w:t xml:space="preserve">Anhang A </w:t>
      </w:r>
      <w:r w:rsidR="00A13B30">
        <w:t>-</w:t>
      </w:r>
      <w:r>
        <w:t xml:space="preserve"> Kennzahlgruppen-Übersichten der Sektor-Drift</w:t>
      </w:r>
    </w:p>
    <w:p w14:paraId="6F90F366" w14:textId="57308BCF" w:rsidR="007A75C7" w:rsidRDefault="00000000">
      <w:pPr>
        <w:spacing w:after="200"/>
      </w:pPr>
      <w:r>
        <w:t xml:space="preserve">Rollierende Median-Niveaus (25-Quartal-Fenster, zentriert, </w:t>
      </w:r>
      <w:proofErr w:type="gramStart"/>
      <w:r>
        <w:t>Mindest</w:t>
      </w:r>
      <w:r w:rsidR="00A13B30">
        <w:t>ens</w:t>
      </w:r>
      <w:proofErr w:type="gramEnd"/>
      <w:r>
        <w:t xml:space="preserve"> zwölf Werte) pro Sektor und Kennzahl über die Stichprobenperiode 2000</w:t>
      </w:r>
      <w:r w:rsidR="00A13B30">
        <w:t>-</w:t>
      </w:r>
      <w:r>
        <w:t>2024. Die drei Krisenphasen aus Kapitel 5.2.1 sind als graue Schraffuren markiert.</w:t>
      </w:r>
    </w:p>
    <w:p w14:paraId="26D68EE9" w14:textId="77777777" w:rsidR="007A75C7" w:rsidRDefault="00000000">
      <w:pPr>
        <w:spacing w:before="200" w:after="120"/>
        <w:jc w:val="center"/>
      </w:pPr>
      <w:r>
        <w:rPr>
          <w:noProof/>
        </w:rPr>
        <w:drawing>
          <wp:inline distT="0" distB="0" distL="0" distR="0" wp14:anchorId="7ACDE0E4" wp14:editId="47399645">
            <wp:extent cx="8953500" cy="3409950"/>
            <wp:effectExtent l="0" t="0" r="0" b="0"/>
            <wp:docPr id="1" name="gruppe_01_renditen_sector.png" descr="gruppe_01_renditen_sector.png" title="gruppe_01_renditen_sect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5480E" w14:textId="0456C29A" w:rsidR="007A75C7" w:rsidRDefault="00000000">
      <w:pPr>
        <w:spacing w:after="200"/>
        <w:jc w:val="center"/>
      </w:pPr>
      <w:r>
        <w:rPr>
          <w:sz w:val="20"/>
          <w:szCs w:val="20"/>
        </w:rPr>
        <w:t xml:space="preserve">Abbildung A.1: Sektor-Drift der Kennzahlgruppe Renditen (ROA, ROE) </w:t>
      </w:r>
      <w:r w:rsidR="00A13B30">
        <w:rPr>
          <w:sz w:val="20"/>
          <w:szCs w:val="20"/>
        </w:rPr>
        <w:t>-</w:t>
      </w:r>
      <w:r>
        <w:rPr>
          <w:sz w:val="20"/>
          <w:szCs w:val="20"/>
        </w:rPr>
        <w:t xml:space="preserve"> rollierender Median (25 Quartale) über die zehn GICS-Sektoren, 2000</w:t>
      </w:r>
      <w:r w:rsidR="00A13B30">
        <w:rPr>
          <w:sz w:val="20"/>
          <w:szCs w:val="20"/>
        </w:rPr>
        <w:t>-</w:t>
      </w:r>
      <w:r>
        <w:rPr>
          <w:sz w:val="20"/>
          <w:szCs w:val="20"/>
        </w:rPr>
        <w:t>2024.</w:t>
      </w:r>
    </w:p>
    <w:p w14:paraId="6719F888" w14:textId="77777777" w:rsidR="007A75C7" w:rsidRDefault="00000000">
      <w:r>
        <w:br w:type="page"/>
      </w:r>
    </w:p>
    <w:p w14:paraId="6A606321" w14:textId="77777777" w:rsidR="007A75C7" w:rsidRDefault="00000000">
      <w:pPr>
        <w:spacing w:before="200" w:after="120"/>
        <w:jc w:val="center"/>
      </w:pPr>
      <w:r>
        <w:rPr>
          <w:noProof/>
        </w:rPr>
        <w:lastRenderedPageBreak/>
        <w:drawing>
          <wp:inline distT="0" distB="0" distL="0" distR="0" wp14:anchorId="0746B042" wp14:editId="3DE489A0">
            <wp:extent cx="8953500" cy="3409950"/>
            <wp:effectExtent l="0" t="0" r="0" b="0"/>
            <wp:docPr id="1805882364" name="gruppe_02_margen_sector.png" descr="gruppe_02_margen_sector.png" title="gruppe_02_margen_sect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7CE25" w14:textId="0FEDF218" w:rsidR="007A75C7" w:rsidRDefault="00000000">
      <w:pPr>
        <w:spacing w:after="200"/>
        <w:jc w:val="center"/>
      </w:pPr>
      <w:r>
        <w:rPr>
          <w:sz w:val="20"/>
          <w:szCs w:val="20"/>
        </w:rPr>
        <w:t xml:space="preserve">Abbildung A.2: Sektor-Drift der Kennzahlgruppe Margen (EBIT-Marge, FCF-Marge) </w:t>
      </w:r>
      <w:r w:rsidR="00A13B30">
        <w:rPr>
          <w:sz w:val="20"/>
          <w:szCs w:val="20"/>
        </w:rPr>
        <w:t>-</w:t>
      </w:r>
      <w:r>
        <w:rPr>
          <w:sz w:val="20"/>
          <w:szCs w:val="20"/>
        </w:rPr>
        <w:t xml:space="preserve"> rollierender Median (25 Quartale) über die zehn GICS-Sektoren, 2000</w:t>
      </w:r>
      <w:r w:rsidR="00A13B30">
        <w:rPr>
          <w:sz w:val="20"/>
          <w:szCs w:val="20"/>
        </w:rPr>
        <w:t>-</w:t>
      </w:r>
      <w:r>
        <w:rPr>
          <w:sz w:val="20"/>
          <w:szCs w:val="20"/>
        </w:rPr>
        <w:t>2024.</w:t>
      </w:r>
    </w:p>
    <w:p w14:paraId="223C1D29" w14:textId="77777777" w:rsidR="007A75C7" w:rsidRDefault="00000000">
      <w:r>
        <w:br w:type="page"/>
      </w:r>
    </w:p>
    <w:p w14:paraId="77377ED0" w14:textId="77777777" w:rsidR="007A75C7" w:rsidRDefault="00000000">
      <w:pPr>
        <w:spacing w:before="200" w:after="120"/>
        <w:jc w:val="center"/>
      </w:pPr>
      <w:r>
        <w:rPr>
          <w:noProof/>
        </w:rPr>
        <w:lastRenderedPageBreak/>
        <w:drawing>
          <wp:inline distT="0" distB="0" distL="0" distR="0" wp14:anchorId="03809B11" wp14:editId="77C989C7">
            <wp:extent cx="6134100" cy="5143500"/>
            <wp:effectExtent l="0" t="0" r="0" b="0"/>
            <wp:docPr id="1935974453" name="gruppe_03_liquiditaet_sector.png" descr="gruppe_03_liquiditaet_sector.png" title="gruppe_03_liquiditaet_sect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8F85C" w14:textId="1979AEAC" w:rsidR="007A75C7" w:rsidRDefault="00000000">
      <w:pPr>
        <w:spacing w:after="200"/>
        <w:jc w:val="center"/>
      </w:pPr>
      <w:r>
        <w:rPr>
          <w:sz w:val="20"/>
          <w:szCs w:val="20"/>
        </w:rPr>
        <w:t xml:space="preserve">Abbildung A.3: Sektor-Drift der Kennzahlgruppe Liquidität (Current Ratio) </w:t>
      </w:r>
      <w:r w:rsidR="00A13B30">
        <w:rPr>
          <w:sz w:val="20"/>
          <w:szCs w:val="20"/>
        </w:rPr>
        <w:t>-</w:t>
      </w:r>
      <w:r>
        <w:rPr>
          <w:sz w:val="20"/>
          <w:szCs w:val="20"/>
        </w:rPr>
        <w:t xml:space="preserve"> rollierender Median (25 Quartale) über die zehn GICS-Sektoren, 2000</w:t>
      </w:r>
      <w:r w:rsidR="00A13B30">
        <w:rPr>
          <w:sz w:val="20"/>
          <w:szCs w:val="20"/>
        </w:rPr>
        <w:t>-</w:t>
      </w:r>
      <w:r>
        <w:rPr>
          <w:sz w:val="20"/>
          <w:szCs w:val="20"/>
        </w:rPr>
        <w:t>2024.</w:t>
      </w:r>
    </w:p>
    <w:p w14:paraId="1E2CB292" w14:textId="77777777" w:rsidR="007A75C7" w:rsidRDefault="00000000">
      <w:r>
        <w:br w:type="page"/>
      </w:r>
    </w:p>
    <w:p w14:paraId="33CB5A04" w14:textId="77777777" w:rsidR="007A75C7" w:rsidRDefault="00000000">
      <w:pPr>
        <w:spacing w:before="200" w:after="120"/>
        <w:jc w:val="center"/>
      </w:pPr>
      <w:r>
        <w:rPr>
          <w:noProof/>
        </w:rPr>
        <w:lastRenderedPageBreak/>
        <w:drawing>
          <wp:inline distT="0" distB="0" distL="0" distR="0" wp14:anchorId="09B796C0" wp14:editId="631EF62D">
            <wp:extent cx="8953500" cy="3409950"/>
            <wp:effectExtent l="0" t="0" r="0" b="0"/>
            <wp:docPr id="52602413" name="gruppe_04_kapitalstruktur_sector.png" descr="gruppe_04_kapitalstruktur_sector.png" title="gruppe_04_kapitalstruktur_sect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9102A" w14:textId="56B3DB71" w:rsidR="007A75C7" w:rsidRDefault="00000000">
      <w:pPr>
        <w:spacing w:after="200"/>
        <w:jc w:val="center"/>
      </w:pPr>
      <w:r>
        <w:rPr>
          <w:sz w:val="20"/>
          <w:szCs w:val="20"/>
        </w:rPr>
        <w:t>Abbildung A.4: Sektor-Drift der Kennzahlgruppe Kapitalstruktur (</w:t>
      </w:r>
      <w:proofErr w:type="spellStart"/>
      <w:r>
        <w:rPr>
          <w:sz w:val="20"/>
          <w:szCs w:val="20"/>
        </w:rPr>
        <w:t>Debt</w:t>
      </w:r>
      <w:proofErr w:type="spellEnd"/>
      <w:r>
        <w:rPr>
          <w:sz w:val="20"/>
          <w:szCs w:val="20"/>
        </w:rPr>
        <w:t xml:space="preserve">/Equity, Eigenkapitalquote) </w:t>
      </w:r>
      <w:r w:rsidR="00A13B30">
        <w:rPr>
          <w:sz w:val="20"/>
          <w:szCs w:val="20"/>
        </w:rPr>
        <w:t>-</w:t>
      </w:r>
      <w:r>
        <w:rPr>
          <w:sz w:val="20"/>
          <w:szCs w:val="20"/>
        </w:rPr>
        <w:t xml:space="preserve"> rollierender Median (25 Quartale) über die zehn GICS-Sektoren, 2000</w:t>
      </w:r>
      <w:r w:rsidR="00A13B30">
        <w:rPr>
          <w:sz w:val="20"/>
          <w:szCs w:val="20"/>
        </w:rPr>
        <w:t>-</w:t>
      </w:r>
      <w:r>
        <w:rPr>
          <w:sz w:val="20"/>
          <w:szCs w:val="20"/>
        </w:rPr>
        <w:t>2024.</w:t>
      </w:r>
    </w:p>
    <w:p w14:paraId="5CFDE463" w14:textId="77777777" w:rsidR="007A75C7" w:rsidRDefault="00000000">
      <w:r>
        <w:br w:type="page"/>
      </w:r>
    </w:p>
    <w:p w14:paraId="132F8E99" w14:textId="2487B59E" w:rsidR="007A75C7" w:rsidRDefault="00000000">
      <w:pPr>
        <w:pStyle w:val="berschrift2"/>
      </w:pPr>
      <w:r>
        <w:lastRenderedPageBreak/>
        <w:t xml:space="preserve">Anhang B </w:t>
      </w:r>
      <w:r w:rsidR="00A13B30">
        <w:t>-</w:t>
      </w:r>
      <w:r>
        <w:t xml:space="preserve"> Rollierende </w:t>
      </w:r>
      <w:proofErr w:type="gramStart"/>
      <w:r>
        <w:t>AR(1)-</w:t>
      </w:r>
      <w:proofErr w:type="gramEnd"/>
      <w:r>
        <w:t>Drift-Konstante c pro Kennzahl</w:t>
      </w:r>
    </w:p>
    <w:p w14:paraId="227E34E3" w14:textId="5C03A5EA" w:rsidR="007A75C7" w:rsidRDefault="00000000">
      <w:pPr>
        <w:spacing w:after="200"/>
      </w:pPr>
      <w:proofErr w:type="gramStart"/>
      <w:r>
        <w:t>AR(1)-</w:t>
      </w:r>
      <w:proofErr w:type="gramEnd"/>
      <w:r>
        <w:t>Drift c, geschätzt pro Unternehmen im 25-Quartal-Fenster und über d</w:t>
      </w:r>
      <w:r w:rsidR="00A13B30">
        <w:t>en</w:t>
      </w:r>
      <w:r>
        <w:t xml:space="preserve"> Sektor zum Median aggregiert. Globale Finanzkrise und COVID sind als graue Schraffuren markiert.</w:t>
      </w:r>
    </w:p>
    <w:p w14:paraId="5EBFAFDF" w14:textId="77777777" w:rsidR="007A75C7" w:rsidRDefault="00000000">
      <w:pPr>
        <w:spacing w:before="200" w:after="120"/>
        <w:jc w:val="center"/>
      </w:pPr>
      <w:r>
        <w:rPr>
          <w:noProof/>
        </w:rPr>
        <w:drawing>
          <wp:inline distT="0" distB="0" distL="0" distR="0" wp14:anchorId="35D6FF8E" wp14:editId="1416B0F2">
            <wp:extent cx="8953500" cy="4848225"/>
            <wp:effectExtent l="0" t="0" r="0" b="0"/>
            <wp:docPr id="358230153" name="rolling_c_sector_ROA.png" descr="rolling_c_sector_ROA.png" title="rolling_c_sector_RO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ADBD2" w14:textId="4CAD282D" w:rsidR="007A75C7" w:rsidRDefault="00000000">
      <w:pPr>
        <w:spacing w:after="200"/>
        <w:jc w:val="center"/>
      </w:pPr>
      <w:r>
        <w:rPr>
          <w:sz w:val="20"/>
          <w:szCs w:val="20"/>
        </w:rPr>
        <w:t xml:space="preserve">Abbildung B.1: Rollierende </w:t>
      </w:r>
      <w:proofErr w:type="gramStart"/>
      <w:r>
        <w:rPr>
          <w:sz w:val="20"/>
          <w:szCs w:val="20"/>
        </w:rPr>
        <w:t>AR(1)-</w:t>
      </w:r>
      <w:proofErr w:type="gramEnd"/>
      <w:r>
        <w:rPr>
          <w:sz w:val="20"/>
          <w:szCs w:val="20"/>
        </w:rPr>
        <w:t xml:space="preserve">Drift-Konstante c für ROA </w:t>
      </w:r>
      <w:r w:rsidR="00A13B30">
        <w:rPr>
          <w:sz w:val="20"/>
          <w:szCs w:val="20"/>
        </w:rPr>
        <w:t>-</w:t>
      </w:r>
      <w:r>
        <w:rPr>
          <w:sz w:val="20"/>
          <w:szCs w:val="20"/>
        </w:rPr>
        <w:t xml:space="preserve"> Median pro Sektor, 25-Quartal-Fenster, 2006</w:t>
      </w:r>
      <w:r w:rsidR="00A13B30">
        <w:rPr>
          <w:sz w:val="20"/>
          <w:szCs w:val="20"/>
        </w:rPr>
        <w:t>-</w:t>
      </w:r>
      <w:r>
        <w:rPr>
          <w:sz w:val="20"/>
          <w:szCs w:val="20"/>
        </w:rPr>
        <w:t>2024.</w:t>
      </w:r>
    </w:p>
    <w:p w14:paraId="22ADE552" w14:textId="60483D12" w:rsidR="007A75C7" w:rsidRDefault="00000000" w:rsidP="00325674">
      <w:r>
        <w:br w:type="page"/>
      </w:r>
      <w:r>
        <w:rPr>
          <w:noProof/>
        </w:rPr>
        <w:lastRenderedPageBreak/>
        <w:drawing>
          <wp:inline distT="0" distB="0" distL="0" distR="0" wp14:anchorId="458EFCE5" wp14:editId="1988B3E3">
            <wp:extent cx="8953500" cy="4848225"/>
            <wp:effectExtent l="0" t="0" r="0" b="0"/>
            <wp:docPr id="960421389" name="rolling_c_sector_ROE.png" descr="rolling_c_sector_ROE.png" title="rolling_c_sector_RO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33D7B" w14:textId="3F973C92" w:rsidR="007A75C7" w:rsidRDefault="00000000">
      <w:pPr>
        <w:spacing w:after="200"/>
        <w:jc w:val="center"/>
      </w:pPr>
      <w:r>
        <w:rPr>
          <w:sz w:val="20"/>
          <w:szCs w:val="20"/>
        </w:rPr>
        <w:t xml:space="preserve">Abbildung B.2: Rollierende </w:t>
      </w:r>
      <w:proofErr w:type="gramStart"/>
      <w:r>
        <w:rPr>
          <w:sz w:val="20"/>
          <w:szCs w:val="20"/>
        </w:rPr>
        <w:t>AR(1)-</w:t>
      </w:r>
      <w:proofErr w:type="gramEnd"/>
      <w:r>
        <w:rPr>
          <w:sz w:val="20"/>
          <w:szCs w:val="20"/>
        </w:rPr>
        <w:t xml:space="preserve">Drift-Konstante c für ROE </w:t>
      </w:r>
      <w:r w:rsidR="00A13B30">
        <w:rPr>
          <w:sz w:val="20"/>
          <w:szCs w:val="20"/>
        </w:rPr>
        <w:t>-</w:t>
      </w:r>
      <w:r>
        <w:rPr>
          <w:sz w:val="20"/>
          <w:szCs w:val="20"/>
        </w:rPr>
        <w:t xml:space="preserve"> Median pro Sektor, 25-Quartal-Fenster, 2006</w:t>
      </w:r>
      <w:r w:rsidR="00A13B30">
        <w:rPr>
          <w:sz w:val="20"/>
          <w:szCs w:val="20"/>
        </w:rPr>
        <w:t>-</w:t>
      </w:r>
      <w:r>
        <w:rPr>
          <w:sz w:val="20"/>
          <w:szCs w:val="20"/>
        </w:rPr>
        <w:t>2024.</w:t>
      </w:r>
    </w:p>
    <w:p w14:paraId="229A3E20" w14:textId="77777777" w:rsidR="007A75C7" w:rsidRDefault="00000000">
      <w:r>
        <w:br w:type="page"/>
      </w:r>
    </w:p>
    <w:p w14:paraId="124E0C12" w14:textId="77777777" w:rsidR="007A75C7" w:rsidRDefault="00000000">
      <w:pPr>
        <w:spacing w:before="200" w:after="120"/>
        <w:jc w:val="center"/>
      </w:pPr>
      <w:r>
        <w:rPr>
          <w:noProof/>
        </w:rPr>
        <w:lastRenderedPageBreak/>
        <w:drawing>
          <wp:inline distT="0" distB="0" distL="0" distR="0" wp14:anchorId="2C69C503" wp14:editId="70B7CABF">
            <wp:extent cx="8953500" cy="4848225"/>
            <wp:effectExtent l="0" t="0" r="0" b="0"/>
            <wp:docPr id="1618510953" name="rolling_c_sector_EBIT_margin.png" descr="rolling_c_sector_EBIT_margin.png" title="rolling_c_sector_EBIT_mar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1DC17" w14:textId="774FB8F5" w:rsidR="007A75C7" w:rsidRDefault="00000000">
      <w:pPr>
        <w:spacing w:after="200"/>
        <w:jc w:val="center"/>
      </w:pPr>
      <w:r>
        <w:rPr>
          <w:sz w:val="20"/>
          <w:szCs w:val="20"/>
        </w:rPr>
        <w:t xml:space="preserve">Abbildung B.3: Rollierende </w:t>
      </w:r>
      <w:proofErr w:type="gramStart"/>
      <w:r>
        <w:rPr>
          <w:sz w:val="20"/>
          <w:szCs w:val="20"/>
        </w:rPr>
        <w:t>AR(1)-</w:t>
      </w:r>
      <w:proofErr w:type="gramEnd"/>
      <w:r>
        <w:rPr>
          <w:sz w:val="20"/>
          <w:szCs w:val="20"/>
        </w:rPr>
        <w:t xml:space="preserve">Drift-Konstante c für EBIT-Marge </w:t>
      </w:r>
      <w:r w:rsidR="00A13B30">
        <w:rPr>
          <w:sz w:val="20"/>
          <w:szCs w:val="20"/>
        </w:rPr>
        <w:t>-</w:t>
      </w:r>
      <w:r>
        <w:rPr>
          <w:sz w:val="20"/>
          <w:szCs w:val="20"/>
        </w:rPr>
        <w:t xml:space="preserve"> Median pro Sektor, 25-Quartal-Fenster, 2006</w:t>
      </w:r>
      <w:r w:rsidR="00A13B30">
        <w:rPr>
          <w:sz w:val="20"/>
          <w:szCs w:val="20"/>
        </w:rPr>
        <w:t>-</w:t>
      </w:r>
      <w:r>
        <w:rPr>
          <w:sz w:val="20"/>
          <w:szCs w:val="20"/>
        </w:rPr>
        <w:t>2024.</w:t>
      </w:r>
    </w:p>
    <w:p w14:paraId="2ED5381F" w14:textId="77777777" w:rsidR="007A75C7" w:rsidRDefault="00000000">
      <w:r>
        <w:br w:type="page"/>
      </w:r>
    </w:p>
    <w:p w14:paraId="44D6C7F7" w14:textId="77777777" w:rsidR="007A75C7" w:rsidRDefault="00000000">
      <w:pPr>
        <w:spacing w:before="200" w:after="120"/>
        <w:jc w:val="center"/>
      </w:pPr>
      <w:r>
        <w:rPr>
          <w:noProof/>
        </w:rPr>
        <w:lastRenderedPageBreak/>
        <w:drawing>
          <wp:inline distT="0" distB="0" distL="0" distR="0" wp14:anchorId="55E9E63D" wp14:editId="09329EBC">
            <wp:extent cx="8953500" cy="4848225"/>
            <wp:effectExtent l="0" t="0" r="0" b="0"/>
            <wp:docPr id="104916526" name="rolling_c_sector_fcf_margin.png" descr="rolling_c_sector_fcf_margin.png" title="rolling_c_sector_fcf_mar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22C3D" w14:textId="2F55E3A3" w:rsidR="007A75C7" w:rsidRDefault="00000000">
      <w:pPr>
        <w:spacing w:after="200"/>
        <w:jc w:val="center"/>
      </w:pPr>
      <w:r>
        <w:rPr>
          <w:sz w:val="20"/>
          <w:szCs w:val="20"/>
        </w:rPr>
        <w:t xml:space="preserve">Abbildung B.4: Rollierende </w:t>
      </w:r>
      <w:proofErr w:type="gramStart"/>
      <w:r>
        <w:rPr>
          <w:sz w:val="20"/>
          <w:szCs w:val="20"/>
        </w:rPr>
        <w:t>AR(1)-</w:t>
      </w:r>
      <w:proofErr w:type="gramEnd"/>
      <w:r>
        <w:rPr>
          <w:sz w:val="20"/>
          <w:szCs w:val="20"/>
        </w:rPr>
        <w:t xml:space="preserve">Drift-Konstante c für FCF-Marge </w:t>
      </w:r>
      <w:r w:rsidR="00A13B30">
        <w:rPr>
          <w:sz w:val="20"/>
          <w:szCs w:val="20"/>
        </w:rPr>
        <w:t>-</w:t>
      </w:r>
      <w:r>
        <w:rPr>
          <w:sz w:val="20"/>
          <w:szCs w:val="20"/>
        </w:rPr>
        <w:t xml:space="preserve"> Median pro Sektor, 25-Quartal-Fenster, 2006</w:t>
      </w:r>
      <w:r w:rsidR="00A13B30">
        <w:rPr>
          <w:sz w:val="20"/>
          <w:szCs w:val="20"/>
        </w:rPr>
        <w:t>-</w:t>
      </w:r>
      <w:r>
        <w:rPr>
          <w:sz w:val="20"/>
          <w:szCs w:val="20"/>
        </w:rPr>
        <w:t>2024.</w:t>
      </w:r>
    </w:p>
    <w:p w14:paraId="7A28145F" w14:textId="77777777" w:rsidR="007A75C7" w:rsidRDefault="00000000">
      <w:r>
        <w:br w:type="page"/>
      </w:r>
    </w:p>
    <w:p w14:paraId="6EA27639" w14:textId="77777777" w:rsidR="007A75C7" w:rsidRDefault="00000000">
      <w:pPr>
        <w:spacing w:before="200" w:after="120"/>
        <w:jc w:val="center"/>
      </w:pPr>
      <w:r>
        <w:rPr>
          <w:noProof/>
        </w:rPr>
        <w:lastRenderedPageBreak/>
        <w:drawing>
          <wp:inline distT="0" distB="0" distL="0" distR="0" wp14:anchorId="76004D56" wp14:editId="04A3E18B">
            <wp:extent cx="8953500" cy="4848225"/>
            <wp:effectExtent l="0" t="0" r="0" b="0"/>
            <wp:docPr id="1792657065" name="rolling_c_sector_current_ratio.png" descr="rolling_c_sector_current_ratio.png" title="rolling_c_sector_current_rat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5055" w14:textId="6FAE5651" w:rsidR="007A75C7" w:rsidRDefault="00000000">
      <w:pPr>
        <w:spacing w:after="200"/>
        <w:jc w:val="center"/>
      </w:pPr>
      <w:r>
        <w:rPr>
          <w:sz w:val="20"/>
          <w:szCs w:val="20"/>
        </w:rPr>
        <w:t xml:space="preserve">Abbildung B.5: Rollierende </w:t>
      </w:r>
      <w:proofErr w:type="gramStart"/>
      <w:r>
        <w:rPr>
          <w:sz w:val="20"/>
          <w:szCs w:val="20"/>
        </w:rPr>
        <w:t>AR(1)-</w:t>
      </w:r>
      <w:proofErr w:type="gramEnd"/>
      <w:r>
        <w:rPr>
          <w:sz w:val="20"/>
          <w:szCs w:val="20"/>
        </w:rPr>
        <w:t xml:space="preserve">Drift-Konstante c für Current Ratio </w:t>
      </w:r>
      <w:r w:rsidR="00A13B30">
        <w:rPr>
          <w:sz w:val="20"/>
          <w:szCs w:val="20"/>
        </w:rPr>
        <w:t>-</w:t>
      </w:r>
      <w:r>
        <w:rPr>
          <w:sz w:val="20"/>
          <w:szCs w:val="20"/>
        </w:rPr>
        <w:t xml:space="preserve"> Median pro Sektor, 25-Quartal-Fenster, 2006</w:t>
      </w:r>
      <w:r w:rsidR="00A13B30">
        <w:rPr>
          <w:sz w:val="20"/>
          <w:szCs w:val="20"/>
        </w:rPr>
        <w:t>-</w:t>
      </w:r>
      <w:r>
        <w:rPr>
          <w:sz w:val="20"/>
          <w:szCs w:val="20"/>
        </w:rPr>
        <w:t>2024.</w:t>
      </w:r>
    </w:p>
    <w:p w14:paraId="797CAECF" w14:textId="77777777" w:rsidR="007A75C7" w:rsidRDefault="00000000">
      <w:r>
        <w:br w:type="page"/>
      </w:r>
    </w:p>
    <w:p w14:paraId="3F4B248C" w14:textId="77777777" w:rsidR="007A75C7" w:rsidRDefault="00000000">
      <w:pPr>
        <w:spacing w:before="200" w:after="120"/>
        <w:jc w:val="center"/>
      </w:pPr>
      <w:r>
        <w:rPr>
          <w:noProof/>
        </w:rPr>
        <w:lastRenderedPageBreak/>
        <w:drawing>
          <wp:inline distT="0" distB="0" distL="0" distR="0" wp14:anchorId="1E104A5E" wp14:editId="7201CCD1">
            <wp:extent cx="8953500" cy="4848225"/>
            <wp:effectExtent l="0" t="0" r="0" b="0"/>
            <wp:docPr id="878287989" name="rolling_c_sector_debt_to_equity.png" descr="rolling_c_sector_debt_to_equity.png" title="rolling_c_sector_debt_to_equ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5F789" w14:textId="3B966928" w:rsidR="007A75C7" w:rsidRDefault="00000000">
      <w:pPr>
        <w:spacing w:after="200"/>
        <w:jc w:val="center"/>
      </w:pPr>
      <w:r>
        <w:rPr>
          <w:sz w:val="20"/>
          <w:szCs w:val="20"/>
        </w:rPr>
        <w:t xml:space="preserve">Abbildung B.6: Rollierende </w:t>
      </w:r>
      <w:proofErr w:type="gramStart"/>
      <w:r>
        <w:rPr>
          <w:sz w:val="20"/>
          <w:szCs w:val="20"/>
        </w:rPr>
        <w:t>AR(1)-</w:t>
      </w:r>
      <w:proofErr w:type="gramEnd"/>
      <w:r>
        <w:rPr>
          <w:sz w:val="20"/>
          <w:szCs w:val="20"/>
        </w:rPr>
        <w:t xml:space="preserve">Drift-Konstante c für </w:t>
      </w:r>
      <w:proofErr w:type="spellStart"/>
      <w:r>
        <w:rPr>
          <w:sz w:val="20"/>
          <w:szCs w:val="20"/>
        </w:rPr>
        <w:t>Debt</w:t>
      </w:r>
      <w:proofErr w:type="spellEnd"/>
      <w:r>
        <w:rPr>
          <w:sz w:val="20"/>
          <w:szCs w:val="20"/>
        </w:rPr>
        <w:t xml:space="preserve">/Equity </w:t>
      </w:r>
      <w:r w:rsidR="00A13B30">
        <w:rPr>
          <w:sz w:val="20"/>
          <w:szCs w:val="20"/>
        </w:rPr>
        <w:t>-</w:t>
      </w:r>
      <w:r>
        <w:rPr>
          <w:sz w:val="20"/>
          <w:szCs w:val="20"/>
        </w:rPr>
        <w:t xml:space="preserve"> Median pro Sektor, 25-Quartal-Fenster, 2006</w:t>
      </w:r>
      <w:r w:rsidR="00A13B30">
        <w:rPr>
          <w:sz w:val="20"/>
          <w:szCs w:val="20"/>
        </w:rPr>
        <w:t>-</w:t>
      </w:r>
      <w:r>
        <w:rPr>
          <w:sz w:val="20"/>
          <w:szCs w:val="20"/>
        </w:rPr>
        <w:t>2024.</w:t>
      </w:r>
    </w:p>
    <w:p w14:paraId="05B61319" w14:textId="77777777" w:rsidR="007A75C7" w:rsidRDefault="00000000">
      <w:r>
        <w:br w:type="page"/>
      </w:r>
    </w:p>
    <w:p w14:paraId="35074EC5" w14:textId="77777777" w:rsidR="007A75C7" w:rsidRDefault="00000000">
      <w:pPr>
        <w:spacing w:before="200" w:after="120"/>
        <w:jc w:val="center"/>
      </w:pPr>
      <w:r>
        <w:rPr>
          <w:noProof/>
        </w:rPr>
        <w:lastRenderedPageBreak/>
        <w:drawing>
          <wp:inline distT="0" distB="0" distL="0" distR="0" wp14:anchorId="4A1B5181" wp14:editId="1512AB24">
            <wp:extent cx="8953500" cy="4848225"/>
            <wp:effectExtent l="0" t="0" r="0" b="0"/>
            <wp:docPr id="1050525181" name="rolling_c_sector_equity_ratio.png" descr="rolling_c_sector_equity_ratio.png" title="rolling_c_sector_equity_rat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5A73E" w14:textId="6636F2FD" w:rsidR="007A75C7" w:rsidRDefault="00000000">
      <w:pPr>
        <w:spacing w:after="200"/>
        <w:jc w:val="center"/>
      </w:pPr>
      <w:r>
        <w:rPr>
          <w:sz w:val="20"/>
          <w:szCs w:val="20"/>
        </w:rPr>
        <w:t xml:space="preserve">Abbildung B.7: Rollierende </w:t>
      </w:r>
      <w:proofErr w:type="gramStart"/>
      <w:r>
        <w:rPr>
          <w:sz w:val="20"/>
          <w:szCs w:val="20"/>
        </w:rPr>
        <w:t>AR(1)-</w:t>
      </w:r>
      <w:proofErr w:type="gramEnd"/>
      <w:r>
        <w:rPr>
          <w:sz w:val="20"/>
          <w:szCs w:val="20"/>
        </w:rPr>
        <w:t xml:space="preserve">Drift-Konstante c für Eigenkapitalquote </w:t>
      </w:r>
      <w:r w:rsidR="00A13B30">
        <w:rPr>
          <w:sz w:val="20"/>
          <w:szCs w:val="20"/>
        </w:rPr>
        <w:t>-</w:t>
      </w:r>
      <w:r>
        <w:rPr>
          <w:sz w:val="20"/>
          <w:szCs w:val="20"/>
        </w:rPr>
        <w:t xml:space="preserve"> Median pro Sektor, 25-Quartal-Fenster, 2006</w:t>
      </w:r>
      <w:r w:rsidR="00A13B30">
        <w:rPr>
          <w:sz w:val="20"/>
          <w:szCs w:val="20"/>
        </w:rPr>
        <w:t>-</w:t>
      </w:r>
      <w:r>
        <w:rPr>
          <w:sz w:val="20"/>
          <w:szCs w:val="20"/>
        </w:rPr>
        <w:t>2024.</w:t>
      </w:r>
    </w:p>
    <w:sectPr w:rsidR="007A75C7">
      <w:headerReference w:type="default" r:id="rId18"/>
      <w:footerReference w:type="default" r:id="rId19"/>
      <w:pgSz w:w="16838" w:h="11906" w:orient="landscape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38E4DC5" w14:textId="77777777" w:rsidR="008E12B4" w:rsidRDefault="008E12B4">
      <w:r>
        <w:separator/>
      </w:r>
    </w:p>
  </w:endnote>
  <w:endnote w:type="continuationSeparator" w:id="0">
    <w:p w14:paraId="1CE1457A" w14:textId="77777777" w:rsidR="008E12B4" w:rsidRDefault="008E12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74FF0F" w14:textId="77777777" w:rsidR="007A75C7" w:rsidRDefault="00000000">
    <w:pPr>
      <w:jc w:val="center"/>
    </w:pP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325674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44D4FA9" w14:textId="77777777" w:rsidR="008E12B4" w:rsidRDefault="008E12B4">
      <w:r>
        <w:separator/>
      </w:r>
    </w:p>
  </w:footnote>
  <w:footnote w:type="continuationSeparator" w:id="0">
    <w:p w14:paraId="46D3790A" w14:textId="77777777" w:rsidR="008E12B4" w:rsidRDefault="008E12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42A2EE" w14:textId="55023A32" w:rsidR="007A75C7" w:rsidRDefault="007A75C7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AE74F6"/>
    <w:multiLevelType w:val="hybridMultilevel"/>
    <w:tmpl w:val="9542A188"/>
    <w:lvl w:ilvl="0" w:tplc="63D09BE2">
      <w:start w:val="1"/>
      <w:numFmt w:val="bullet"/>
      <w:lvlText w:val="●"/>
      <w:lvlJc w:val="left"/>
      <w:pPr>
        <w:ind w:left="720" w:hanging="360"/>
      </w:pPr>
    </w:lvl>
    <w:lvl w:ilvl="1" w:tplc="A808C574">
      <w:start w:val="1"/>
      <w:numFmt w:val="bullet"/>
      <w:lvlText w:val="○"/>
      <w:lvlJc w:val="left"/>
      <w:pPr>
        <w:ind w:left="1440" w:hanging="360"/>
      </w:pPr>
    </w:lvl>
    <w:lvl w:ilvl="2" w:tplc="681A3CF2">
      <w:start w:val="1"/>
      <w:numFmt w:val="bullet"/>
      <w:lvlText w:val="■"/>
      <w:lvlJc w:val="left"/>
      <w:pPr>
        <w:ind w:left="2160" w:hanging="360"/>
      </w:pPr>
    </w:lvl>
    <w:lvl w:ilvl="3" w:tplc="9BD00676">
      <w:start w:val="1"/>
      <w:numFmt w:val="bullet"/>
      <w:lvlText w:val="●"/>
      <w:lvlJc w:val="left"/>
      <w:pPr>
        <w:ind w:left="2880" w:hanging="360"/>
      </w:pPr>
    </w:lvl>
    <w:lvl w:ilvl="4" w:tplc="33BE6F46">
      <w:start w:val="1"/>
      <w:numFmt w:val="bullet"/>
      <w:lvlText w:val="○"/>
      <w:lvlJc w:val="left"/>
      <w:pPr>
        <w:ind w:left="3600" w:hanging="360"/>
      </w:pPr>
    </w:lvl>
    <w:lvl w:ilvl="5" w:tplc="5EE6FE8A">
      <w:start w:val="1"/>
      <w:numFmt w:val="bullet"/>
      <w:lvlText w:val="■"/>
      <w:lvlJc w:val="left"/>
      <w:pPr>
        <w:ind w:left="4320" w:hanging="360"/>
      </w:pPr>
    </w:lvl>
    <w:lvl w:ilvl="6" w:tplc="A9F81B96">
      <w:start w:val="1"/>
      <w:numFmt w:val="bullet"/>
      <w:lvlText w:val="●"/>
      <w:lvlJc w:val="left"/>
      <w:pPr>
        <w:ind w:left="5040" w:hanging="360"/>
      </w:pPr>
    </w:lvl>
    <w:lvl w:ilvl="7" w:tplc="8AD0E7B6">
      <w:start w:val="1"/>
      <w:numFmt w:val="bullet"/>
      <w:lvlText w:val="●"/>
      <w:lvlJc w:val="left"/>
      <w:pPr>
        <w:ind w:left="5760" w:hanging="360"/>
      </w:pPr>
    </w:lvl>
    <w:lvl w:ilvl="8" w:tplc="D70EF082">
      <w:start w:val="1"/>
      <w:numFmt w:val="bullet"/>
      <w:lvlText w:val="●"/>
      <w:lvlJc w:val="left"/>
      <w:pPr>
        <w:ind w:left="6480" w:hanging="360"/>
      </w:pPr>
    </w:lvl>
  </w:abstractNum>
  <w:num w:numId="1" w16cid:durableId="2568682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75C7"/>
    <w:rsid w:val="001F3E23"/>
    <w:rsid w:val="00325674"/>
    <w:rsid w:val="007A75C7"/>
    <w:rsid w:val="008E12B4"/>
    <w:rsid w:val="00A13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E4086B"/>
  <w15:docId w15:val="{0256C78A-5C05-C345-9329-16AE4663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after="240"/>
      <w:outlineLvl w:val="0"/>
    </w:pPr>
    <w:rPr>
      <w:b/>
      <w:bCs/>
      <w:color w:val="000000"/>
      <w:sz w:val="36"/>
      <w:szCs w:val="36"/>
    </w:rPr>
  </w:style>
  <w:style w:type="paragraph" w:styleId="berschrift2">
    <w:name w:val="heading 2"/>
    <w:uiPriority w:val="9"/>
    <w:unhideWhenUsed/>
    <w:qFormat/>
    <w:pPr>
      <w:spacing w:before="240" w:after="160"/>
      <w:outlineLvl w:val="1"/>
    </w:pPr>
    <w:rPr>
      <w:b/>
      <w:bCs/>
      <w:color w:val="000000"/>
      <w:sz w:val="28"/>
      <w:szCs w:val="28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3256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325674"/>
  </w:style>
  <w:style w:type="paragraph" w:styleId="Fuzeile">
    <w:name w:val="footer"/>
    <w:basedOn w:val="Standard"/>
    <w:link w:val="FuzeileZchn"/>
    <w:uiPriority w:val="99"/>
    <w:unhideWhenUsed/>
    <w:rsid w:val="003256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3256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274</Words>
  <Characters>1727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Tobias Mourier</cp:lastModifiedBy>
  <cp:revision>2</cp:revision>
  <dcterms:created xsi:type="dcterms:W3CDTF">2026-07-05T09:52:00Z</dcterms:created>
  <dcterms:modified xsi:type="dcterms:W3CDTF">2026-07-07T14:01:00Z</dcterms:modified>
</cp:coreProperties>
</file>