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3.5  Statistische Tests</w:t>
      </w:r>
    </w:p>
    <w:p>
      <w:r>
        <w:t xml:space="preserve">Die Schätzung der Parameter φ und σ ist in Kapitel 3.2 beschrieben. Die folgenden Kapitel definieren die ergänzenden statistischen Tests, mit denen diese Parameter in den drei Ergebniskapiteln ausgewertet werden.</w:t>
      </w:r>
    </w:p>
    <w:p>
      <w:pPr>
        <w:pStyle w:val="Heading3"/>
      </w:pPr>
      <w:r>
        <w:t xml:space="preserve">3.5.1  Forschungsfrage 1: Dynamikmuster der Kennzahlen</w:t>
      </w:r>
    </w:p>
    <w:p>
      <w:r>
        <w:t xml:space="preserve">Forschungsfrage 1 stützt sich primär auf deskriptive Statistiken (Median, Interquartilsabstand, Signifikanzraten, R²-Verteilungen) und die visuelle Darstellung der Unternehmen im φ-σ-Raum. Die zentrale Aussage der drei Dynamiktypen wird durch den Vergleich der Mediane pro Kennzahl etabliert. Ergänzend werden Mann-Whitney-U-Tests eingesetzt, um paarweise Unterschiede in den φ- und σ-Verteilungen zwischen Kennzahlen auf statistische Signifikanz zu prüfen. Der Test ist als nichtparametrisches Verfahren robust gegenüber Verletzungen der Normalverteilungsannahme, die bei AR-Koeffizienten typisch ist.</w:t>
      </w:r>
    </w:p>
    <w:p>
      <w:pPr>
        <w:pStyle w:val="Heading3"/>
      </w:pPr>
      <w:r>
        <w:t xml:space="preserve">3.5.2  Forschungsfrage 2: Interdependenz und zeitliche Dynamik</w:t>
      </w:r>
    </w:p>
    <w:p>
      <w:r>
        <w:t xml:space="preserve">Forschungsfrage 2 zerlegt sich in eine querschnittliche und eine zeitliche Analyse. Querschnittlich werden die geschätzten Parameter φ und σ über die 932 Unternehmen paarweise korreliert. Die Spearman-Rangkorrelation (vgl. Kap. 3.4.3) wird für alle 21 Kennzahl-Paare einmal in φ und einmal in σ berechnet, die familienweise Bonferroni-Schwelle beträgt α / 21 pro Matrix. Eine ergänzende Lead-Lag-Analyse der ΔY-Innovationen prüft Korrelationen für Lag-Werte zwischen −4 und +4 Quartalen, die Konfidenzintervalle entstehen aus einem Pair-Bootstrap mit 1.000 Resamples auf Unternehmensebene.</w:t>
      </w:r>
    </w:p>
    <w:p>
      <w:r>
        <w:t xml:space="preserve">Zeitlich werden zwei Verfahren eingesetzt. Die Peak-Window-Identifikation bestimmt Krisenphasen datengetrieben über die rollierende 4-Quartal-Standardabweichung der ΔY-Werte. Ein Quartal gilt als Peak-Window, wenn drei oder mehr der sieben Kennzahlen oberhalb des 90. Perzentils ihrer eigenen Volatilitäts-Verteilung liegen. Die Drift-Analyse pro Sektor verwendet einen rollierenden Median über 25 Quartale auf den Kennzahl-Niveaus, ergänzt durch die AR(1)-Drift-Konstante c aus dem Modell in Kapitel 3.2.</w:t>
      </w:r>
    </w:p>
    <w:p>
      <w:pPr>
        <w:pStyle w:val="Heading3"/>
      </w:pPr>
      <w:r>
        <w:t xml:space="preserve">3.5.3  Forschungsfrage 3: Strukturvariablen-Analyse</w:t>
      </w:r>
    </w:p>
    <w:p>
      <w:r>
        <w:t xml:space="preserve">Forschungsfrage 3 prüft den Zusammenhang zwischen strukturellen Unternehmensmerkmalen und den Parametern φ und σ. Pro Unternehmen werden fünf Strukturvariablen aus den bereinigten Rohdaten als Median über die 100 Quartale konstruiert: Unternehmensgröße (Marktkapitalisierung, Bilanzsumme, Mitarbeiterzahl), Anlagenintensität (PPE/TA), Investitionsintensität (CapEx/TA), Median-Profitabilität (Median-ROA) und Accruals nach Sloan (1996) als (NI − CFO) / avg(TA). Anlagenintensität und Investitionsintensität schließen konzeptionell an die in Kapitel 4.3.2 hergeleitete Strom-vs-Bestand-Mechanik an, Median-Profitabilität an die Konvexitäts-Hypothese aus Fama und French (2000), Accruals an die Eigenständigkeit der FCF-Marge gegenüber den buchhalterischen Profitabilitätskennzahlen.</w:t>
      </w:r>
    </w:p>
    <w:p>
      <w:r>
        <w:t xml:space="preserve">Der Zusammenhang wird über zwei Verfahren geprüft: Spearman-Rangkorrelation (vgl. Kap. 3.4.3) sowie Quintil-Vergleiche mit dem in 3.5.1 eingeführten Mann-Whitney-U-Test. Für die kategoriale Variable Sektor wird der Kruskal-Wallis-Test eingesetzt, der prüft, ob die Verteilungen über die zehn Sektoren signifikant unterschiedlich sind. Als Effektstärken werden Cohens r für die Quintil-Vergleiche und ε² für den Sektor-Test berichtet. Bei N = 932 wird selbst eine geringe Effektstärke statistisch signifikant, die Effektstärken sind daher der entscheidendere Indikator als das nominelle Signifikanzniveau. Die familienweise Bonferroni-Schwelle beträgt α / 14 (sieben Kennzahlen mal zwei Parameter pro Strukturvariable).</w:t>
      </w:r>
    </w:p>
    <w:p>
      <w:r>
        <w:t xml:space="preserve">Die fünf Sektor-Cluster aus Kapitel 4.3.3 werden falsifizierungsorientiert geprüft. Pro Cluster wird die in 4.3.3 hergeleitete Mechanik in eine Vorhersage zur Quadranten-Verteilung überführt. Unternehmen, deren Quadranten-Position der Cluster-Vorhersage widerspricht, werden als Cluster-Ausreißer markiert und im weiteren Verlauf als Beispiel-Unternehmen aufgegriffen. Die multivariate Synthese in Kapitel 6.4 fasst alle Strukturvariablen in OLS-Regressionen pro Kennzahl und Parameter zusammen. Das resultierende R² quantifiziert den gemeinsam erklärten Anteil der Variation, die Quadrantenklassifikation aus Kapitel 3.3 wird als kategoriale Kontrollvariable aufgenommen, um die Restinformation der Klassifikation jenseits der strukturellen Merkmale zu prüfen.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2026-05-21T05:23:36.373Z</dcterms:created>
  <dcterms:modified xsi:type="dcterms:W3CDTF">2026-05-21T05:23:36.373Z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