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4A04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proofErr w:type="gramStart"/>
      <w:r w:rsidRPr="0025402A">
        <w:rPr>
          <w:rFonts w:eastAsia="Times New Roman" w:cs="Times New Roman"/>
          <w:kern w:val="0"/>
          <w:lang w:eastAsia="de-DE"/>
          <w14:ligatures w14:val="none"/>
        </w:rPr>
        <w:t>5  Ergebnisse</w:t>
      </w:r>
      <w:proofErr w:type="gram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FF2: Interdependenzen und zeitliche Manifestation</w:t>
      </w:r>
    </w:p>
    <w:p w14:paraId="15A3730B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</w:p>
    <w:p w14:paraId="3A811C94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Die zweite Forschungsfrage lautet:</w:t>
      </w:r>
    </w:p>
    <w:p w14:paraId="06321A5C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</w:p>
    <w:p w14:paraId="4B29DE90" w14:textId="5DA93ACB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„</w:t>
      </w:r>
      <w:r w:rsidRPr="0025402A">
        <w:rPr>
          <w:rFonts w:eastAsia="Times New Roman" w:cs="Times New Roman"/>
          <w:kern w:val="0"/>
          <w:lang w:eastAsia="de-DE"/>
          <w14:ligatures w14:val="none"/>
        </w:rPr>
        <w:t>Welche Interdependenzen bestehen zwischen Finanzkennzahlen, und inwiefern</w:t>
      </w:r>
    </w:p>
    <w:p w14:paraId="204C1B6C" w14:textId="5BB7B0F5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unterscheiden sich diese zwischen Unternehmen?</w:t>
      </w:r>
      <w:r>
        <w:rPr>
          <w:rFonts w:eastAsia="Times New Roman" w:cs="Times New Roman"/>
          <w:kern w:val="0"/>
          <w:lang w:eastAsia="de-DE"/>
          <w14:ligatures w14:val="none"/>
        </w:rPr>
        <w:t>“</w:t>
      </w:r>
    </w:p>
    <w:p w14:paraId="22C4C14C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</w:p>
    <w:p w14:paraId="713849E3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Forschungsfrage 1 hat die sieben Kennzahlen einzeln auf ihre Mean-Reversion-</w:t>
      </w:r>
    </w:p>
    <w:p w14:paraId="17777C08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Dynamik untersucht und in drei Dynamiktypen geordnet, deren φ-Mediane zwischen</w:t>
      </w:r>
    </w:p>
    <w:p w14:paraId="5DDE0E67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−0,43 (Profitabilität) und −0,04 (Eigenkapitalquote) auseinanderfallen.</w:t>
      </w:r>
    </w:p>
    <w:p w14:paraId="2ADB7AE8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Forschungsfrage 2 verbindet diese Einzelbetrachtungen. Sie prüft, ob die</w:t>
      </w:r>
    </w:p>
    <w:p w14:paraId="4106E8ED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firmenspezifischen Dynamik-Parameter zwischen den Kennzahlen zusammenhängen</w:t>
      </w:r>
    </w:p>
    <w:p w14:paraId="4122B359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und wie sich Unternehmen mit unterschiedlichen Profilen in Hochvolatilitäts-</w:t>
      </w:r>
    </w:p>
    <w:p w14:paraId="6B4742B5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phasen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verhalten. Die Frage zerfällt in zwei Teile, einen querschnittlichen</w:t>
      </w:r>
    </w:p>
    <w:p w14:paraId="00AA0D96" w14:textId="310C905B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und einen zeitlichen, die sich in der Kapitelstruktur widerspiegeln.</w:t>
      </w:r>
    </w:p>
    <w:p w14:paraId="16D7EEB0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Das Kapitel beantwortet die Frage in fünf Schritten. Kapitel 5.1 berechnet</w:t>
      </w:r>
    </w:p>
    <w:p w14:paraId="74EC9C71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die paarweise Spearman-Korrelation der firmenspezifisch geschätzten </w:t>
      </w:r>
      <w:proofErr w:type="gramStart"/>
      <w:r w:rsidRPr="0025402A">
        <w:rPr>
          <w:rFonts w:eastAsia="Times New Roman" w:cs="Times New Roman"/>
          <w:kern w:val="0"/>
          <w:lang w:eastAsia="de-DE"/>
          <w14:ligatures w14:val="none"/>
        </w:rPr>
        <w:t>AR(1)-</w:t>
      </w:r>
      <w:proofErr w:type="gramEnd"/>
    </w:p>
    <w:p w14:paraId="343AA3D5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Parameter φ̂₁ und σ̂ über alle 21 Kennzahl-Paare und ergänzt eine Lead-Lag-</w:t>
      </w:r>
    </w:p>
    <w:p w14:paraId="48ABFF84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Auswertung der ΔY-Innovationen. Kapitel 5.2 verfolgt die </w:t>
      </w: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Querschnittsvolati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>-</w:t>
      </w:r>
    </w:p>
    <w:p w14:paraId="09763C54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lität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quartalsweise, weist drei datengetrieben identifizierte </w:t>
      </w: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Hochvolatili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>-</w:t>
      </w:r>
    </w:p>
    <w:p w14:paraId="17F52009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tätsphasen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aus (Dot-</w:t>
      </w: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Com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2001Q4, Globale Finanzkrise 2009Q2, COVID 2020Q3)</w:t>
      </w:r>
    </w:p>
    <w:p w14:paraId="31DAB19E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und vergleicht die Reaktionsmuster nach </w:t>
      </w: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Quadrantentyp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und Branche. Kapitel</w:t>
      </w:r>
    </w:p>
    <w:p w14:paraId="2DDCC4A7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5.3 ordnet die Beobachtungen ökonomisch ein und trennt mechanische Kopplungen</w:t>
      </w:r>
    </w:p>
    <w:p w14:paraId="097114BC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aus der DuPont-Identität von </w:t>
      </w:r>
      <w:proofErr w:type="gramStart"/>
      <w:r w:rsidRPr="0025402A">
        <w:rPr>
          <w:rFonts w:eastAsia="Times New Roman" w:cs="Times New Roman"/>
          <w:kern w:val="0"/>
          <w:lang w:eastAsia="de-DE"/>
          <w14:ligatures w14:val="none"/>
        </w:rPr>
        <w:t>substantiellen</w:t>
      </w:r>
      <w:proofErr w:type="gram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Interdependenzen. Kapitel 5.4</w:t>
      </w:r>
    </w:p>
    <w:p w14:paraId="52353082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fasst die zentralen Aussagen für die Anschlussfrage Forschungsfrage 3</w:t>
      </w:r>
    </w:p>
    <w:p w14:paraId="5D92DE9D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zusammen. Kapitel 5.5 prüft die Stabilität der Interdependenz-Struktur über</w:t>
      </w:r>
    </w:p>
    <w:p w14:paraId="667322BF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Teilperioden und alternative Event-Definitionen.</w:t>
      </w:r>
    </w:p>
    <w:p w14:paraId="6A08E0EF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</w:p>
    <w:p w14:paraId="71AA3213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Die in diesem Kapitel herausgearbeiteten Interdependenz- und Reaktionsmuster</w:t>
      </w:r>
    </w:p>
    <w:p w14:paraId="294FE968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bilden die Grundlage für Forschungsfrage 3, die untersucht, welche externen</w:t>
      </w:r>
    </w:p>
    <w:p w14:paraId="79BA00D6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Merkmale dieser Unternehmen (Branche, Größe, Bilanzgröße) mit den</w:t>
      </w:r>
    </w:p>
    <w:p w14:paraId="42969AEF" w14:textId="6FBF0B93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beobachteten Dynamik-Profilen zusammenhängen.</w:t>
      </w:r>
    </w:p>
    <w:p w14:paraId="100CF972" w14:textId="77777777" w:rsidR="0025402A" w:rsidRDefault="0025402A" w:rsidP="0025402A">
      <w:pPr>
        <w:rPr>
          <w:rFonts w:eastAsia="Times New Roman" w:cs="Times New Roman"/>
          <w:b/>
          <w:bCs/>
          <w:kern w:val="0"/>
          <w:lang w:eastAsia="de-DE"/>
          <w14:ligatures w14:val="none"/>
        </w:rPr>
      </w:pPr>
    </w:p>
    <w:p w14:paraId="1171AC2D" w14:textId="26C288F5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>Teil A — Interdependenz:</w:t>
      </w: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Wenn ein Unternehmen in Kennzahl X eine bestimmte Dynamik zeigt, wie hängt das mit der Dynamik bei Kennzahl Y zusammen? </w:t>
      </w: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>Teil B — Unternehmensunterschiede:</w:t>
      </w: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Welche Unternehmensgruppen zeigen welche Reaktionsmuster, und wie tritt diese Unterscheidung in Krisenphasen hervor?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960"/>
        <w:gridCol w:w="3375"/>
        <w:gridCol w:w="2804"/>
      </w:tblGrid>
      <w:tr w:rsidR="0025402A" w:rsidRPr="0025402A" w14:paraId="37731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6EE6C" w14:textId="77777777" w:rsidR="0025402A" w:rsidRPr="0025402A" w:rsidRDefault="0025402A" w:rsidP="0025402A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Unterkapitel</w:t>
            </w:r>
          </w:p>
        </w:tc>
        <w:tc>
          <w:tcPr>
            <w:tcW w:w="0" w:type="auto"/>
            <w:vAlign w:val="center"/>
            <w:hideMark/>
          </w:tcPr>
          <w:p w14:paraId="4655884A" w14:textId="77777777" w:rsidR="0025402A" w:rsidRPr="0025402A" w:rsidRDefault="0025402A" w:rsidP="0025402A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5A5A5DAA" w14:textId="77777777" w:rsidR="0025402A" w:rsidRPr="0025402A" w:rsidRDefault="0025402A" w:rsidP="0025402A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Was es zur Forschungsfrage </w:t>
            </w:r>
            <w:proofErr w:type="gramStart"/>
            <w:r w:rsidRPr="0025402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beiträgt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C83A58" w14:textId="77777777" w:rsidR="0025402A" w:rsidRPr="0025402A" w:rsidRDefault="0025402A" w:rsidP="0025402A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Worauf es </w:t>
            </w:r>
            <w:proofErr w:type="gramStart"/>
            <w:r w:rsidRPr="0025402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aufbaut</w:t>
            </w:r>
            <w:proofErr w:type="gramEnd"/>
          </w:p>
        </w:tc>
      </w:tr>
      <w:tr w:rsidR="0025402A" w:rsidRPr="0025402A" w14:paraId="7C45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2C98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5.0 Eröffnung</w:t>
            </w:r>
          </w:p>
        </w:tc>
        <w:tc>
          <w:tcPr>
            <w:tcW w:w="0" w:type="auto"/>
            <w:vAlign w:val="center"/>
            <w:hideMark/>
          </w:tcPr>
          <w:p w14:paraId="3EE0B316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beide</w:t>
            </w:r>
          </w:p>
        </w:tc>
        <w:tc>
          <w:tcPr>
            <w:tcW w:w="0" w:type="auto"/>
            <w:vAlign w:val="center"/>
            <w:hideMark/>
          </w:tcPr>
          <w:p w14:paraId="4D433419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Verortet Forschungsfrage 2 als Fortsetzung der Einzelbetrachtungen aus Forschungsfrage 1</w:t>
            </w:r>
          </w:p>
        </w:tc>
        <w:tc>
          <w:tcPr>
            <w:tcW w:w="0" w:type="auto"/>
            <w:vAlign w:val="center"/>
            <w:hideMark/>
          </w:tcPr>
          <w:p w14:paraId="26328C82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knüpft an die Drei-Dynamiktypen aus 4.1/4.2 an</w:t>
            </w:r>
          </w:p>
        </w:tc>
      </w:tr>
      <w:tr w:rsidR="0025402A" w:rsidRPr="0025402A" w14:paraId="6A77E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E76F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5.1.1 Methodik</w:t>
            </w:r>
          </w:p>
        </w:tc>
        <w:tc>
          <w:tcPr>
            <w:tcW w:w="0" w:type="auto"/>
            <w:vAlign w:val="center"/>
            <w:hideMark/>
          </w:tcPr>
          <w:p w14:paraId="3B473676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011BFF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Mean-Group-Verankerung nach 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Pesaran</w:t>
            </w:r>
            <w:proofErr w:type="spell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&amp; Smith 1995, Spearman-Wahl, 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Bonferroni</w:t>
            </w:r>
            <w:proofErr w:type="spell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α/42 plus BH-FDR, Hypothesen-</w:t>
            </w: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lastRenderedPageBreak/>
              <w:t>Katalog H1 bis H4 ex ante deklariert</w:t>
            </w:r>
          </w:p>
        </w:tc>
        <w:tc>
          <w:tcPr>
            <w:tcW w:w="0" w:type="auto"/>
            <w:vAlign w:val="center"/>
            <w:hideMark/>
          </w:tcPr>
          <w:p w14:paraId="639BC8EC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lastRenderedPageBreak/>
              <w:t>Methodik aus 3.2.3 (firmenspezifische AR(</w:t>
            </w:r>
            <w:proofErr w:type="gram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1)-</w:t>
            </w:r>
            <w:proofErr w:type="gram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Schätzung)</w:t>
            </w:r>
          </w:p>
        </w:tc>
      </w:tr>
      <w:tr w:rsidR="0025402A" w:rsidRPr="0025402A" w14:paraId="269B0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9494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5.1.2 φ̂₁-Matrix</w:t>
            </w:r>
          </w:p>
        </w:tc>
        <w:tc>
          <w:tcPr>
            <w:tcW w:w="0" w:type="auto"/>
            <w:vAlign w:val="center"/>
            <w:hideMark/>
          </w:tcPr>
          <w:p w14:paraId="17A39BF4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A29D3A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Erster zentraler Ergebnisblock: Profitabilitäts-Korrektur korreliert intern stark (ROA × ROE ρ = 0,78), Kapitalstruktur bildet zweite Gruppe (D/E × EK-R ρ = 0,26), branchenübergreifende Cross-Block-Korrelation bleibt unter 0,11</w:t>
            </w:r>
          </w:p>
        </w:tc>
        <w:tc>
          <w:tcPr>
            <w:tcW w:w="0" w:type="auto"/>
            <w:vAlign w:val="center"/>
            <w:hideMark/>
          </w:tcPr>
          <w:p w14:paraId="4B76C61C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bestätigt die Drei-Dynamiktypen aus 4.1 auf der Interdependenz-Ebene</w:t>
            </w:r>
          </w:p>
        </w:tc>
      </w:tr>
      <w:tr w:rsidR="0025402A" w:rsidRPr="0025402A" w14:paraId="4F56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B66F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5.1.3 σ̂-Matrix</w:t>
            </w:r>
          </w:p>
        </w:tc>
        <w:tc>
          <w:tcPr>
            <w:tcW w:w="0" w:type="auto"/>
            <w:vAlign w:val="center"/>
            <w:hideMark/>
          </w:tcPr>
          <w:p w14:paraId="581778E5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85C85A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Anderes Muster: ROE × D/E ρ = 0,82 als mechanische DuPont-Kopplung, EBIT × FCF ρ = 0,78 aus gemeinsamem Umsatznenner, Eigenkapitalquote als einzige Kennzahl mit Schock-Korrelation über alle drei Dynamiktypen hinweg</w:t>
            </w:r>
          </w:p>
        </w:tc>
        <w:tc>
          <w:tcPr>
            <w:tcW w:w="0" w:type="auto"/>
            <w:vAlign w:val="center"/>
            <w:hideMark/>
          </w:tcPr>
          <w:p w14:paraId="0263F266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kontrastiert mit 5.1.2, weil das Schock-Muster andere Mechaniken </w:t>
            </w:r>
            <w:proofErr w:type="gram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aktiviert</w:t>
            </w:r>
            <w:proofErr w:type="gramEnd"/>
          </w:p>
        </w:tc>
      </w:tr>
      <w:tr w:rsidR="0025402A" w:rsidRPr="0025402A" w14:paraId="20F5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8927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5.1.4 φ̂₁ vs. σ̂</w:t>
            </w:r>
          </w:p>
        </w:tc>
        <w:tc>
          <w:tcPr>
            <w:tcW w:w="0" w:type="auto"/>
            <w:vAlign w:val="center"/>
            <w:hideMark/>
          </w:tcPr>
          <w:p w14:paraId="219C926F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AA6A12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Korrelation der beiden AR-Parameter pro Kennzahl liegt unter |ρ| = 0,25, die zwei Dimensionen sind also nicht redundant</w:t>
            </w:r>
          </w:p>
        </w:tc>
        <w:tc>
          <w:tcPr>
            <w:tcW w:w="0" w:type="auto"/>
            <w:vAlign w:val="center"/>
            <w:hideMark/>
          </w:tcPr>
          <w:p w14:paraId="3AB3DB6D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rechtfertigt die Quadranten-Klassifikation aus 3.3.1 ein zweites Mal, jetzt auf Interdependenz-Ebene</w:t>
            </w:r>
          </w:p>
        </w:tc>
      </w:tr>
      <w:tr w:rsidR="0025402A" w:rsidRPr="0025402A" w14:paraId="085DD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2E63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5.1.5 Lead-Lag (Phase 2)</w:t>
            </w:r>
          </w:p>
        </w:tc>
        <w:tc>
          <w:tcPr>
            <w:tcW w:w="0" w:type="auto"/>
            <w:vAlign w:val="center"/>
            <w:hideMark/>
          </w:tcPr>
          <w:p w14:paraId="4A2B419D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80FFF8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Untersucht, ob ΔY-Schocks einer Kennzahl der Anpassung in einer anderen vorauslaufen. Brücke vom statischen Zusammenhang zur zeitlichen Sequenz</w:t>
            </w:r>
          </w:p>
        </w:tc>
        <w:tc>
          <w:tcPr>
            <w:tcW w:w="0" w:type="auto"/>
            <w:vAlign w:val="center"/>
            <w:hideMark/>
          </w:tcPr>
          <w:p w14:paraId="07E8C86E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erweitert die Querschnitts-Korrelationen aus 5.1.2/5.1.3 um die Zeitachse</w:t>
            </w:r>
          </w:p>
        </w:tc>
      </w:tr>
      <w:tr w:rsidR="0025402A" w:rsidRPr="0025402A" w14:paraId="1094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F6A8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5.2.1 Aggregat-Drift</w:t>
            </w:r>
          </w:p>
        </w:tc>
        <w:tc>
          <w:tcPr>
            <w:tcW w:w="0" w:type="auto"/>
            <w:vAlign w:val="center"/>
            <w:hideMark/>
          </w:tcPr>
          <w:p w14:paraId="4D6040E7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 (Vorgriff)</w:t>
            </w:r>
          </w:p>
        </w:tc>
        <w:tc>
          <w:tcPr>
            <w:tcW w:w="0" w:type="auto"/>
            <w:vAlign w:val="center"/>
            <w:hideMark/>
          </w:tcPr>
          <w:p w14:paraId="00A6CEC4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Langfristige Trends pro Kennzahl: FCF-Marge +10 PP, EBIT-Marge +2,3 PP, D/E systematisch ↑, EK-R spiegelbildlich, ROA/ROE flach. Zeigt, dass die Korrelationen aus 5.1 nicht durch identische Trends getrieben </w:t>
            </w:r>
            <w:proofErr w:type="gram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sind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56D773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Brücke vom Querschnitt zur Zeit-Dimension</w:t>
            </w:r>
          </w:p>
        </w:tc>
      </w:tr>
      <w:tr w:rsidR="0025402A" w:rsidRPr="0025402A" w14:paraId="4A91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9C25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5.2.2 Methodik Peak-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AE483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5D461B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Datengetriebene Identifikation von Hochvolatilitätsphasen reduziert Data-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Snooping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720C6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greift die Querschnittsvolatilität aus 5.1.3 als zeitliche Größe wieder auf</w:t>
            </w:r>
          </w:p>
        </w:tc>
      </w:tr>
      <w:tr w:rsidR="0025402A" w:rsidRPr="0025402A" w14:paraId="5654A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FAD1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lastRenderedPageBreak/>
              <w:t>5.2.3 Peak-Windows</w:t>
            </w:r>
          </w:p>
        </w:tc>
        <w:tc>
          <w:tcPr>
            <w:tcW w:w="0" w:type="auto"/>
            <w:vAlign w:val="center"/>
            <w:hideMark/>
          </w:tcPr>
          <w:p w14:paraId="76CC0362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AAB02E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Drei Hauptphasen, datengetrieben erkannt: Dot-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Com</w:t>
            </w:r>
            <w:proofErr w:type="spell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2001Q4, Globale Finanzkrise 2009Q2, COVID 2020Q3. COVID 6 von 7 Kennzahlen gleichzeitig im Peak</w:t>
            </w:r>
          </w:p>
        </w:tc>
        <w:tc>
          <w:tcPr>
            <w:tcW w:w="0" w:type="auto"/>
            <w:vAlign w:val="center"/>
            <w:hideMark/>
          </w:tcPr>
          <w:p w14:paraId="2E3585A4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bestätigt das Vorgehen aus 5.2.2 und liefert die Event-Anker für 5.2.4 ff.</w:t>
            </w:r>
          </w:p>
        </w:tc>
      </w:tr>
      <w:tr w:rsidR="0025402A" w:rsidRPr="0025402A" w14:paraId="55E2C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DA48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5.2.4 Quadranten-Reaktionen</w:t>
            </w:r>
          </w:p>
        </w:tc>
        <w:tc>
          <w:tcPr>
            <w:tcW w:w="0" w:type="auto"/>
            <w:vAlign w:val="center"/>
            <w:hideMark/>
          </w:tcPr>
          <w:p w14:paraId="1F0BBDA5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 (Kern)</w:t>
            </w:r>
          </w:p>
        </w:tc>
        <w:tc>
          <w:tcPr>
            <w:tcW w:w="0" w:type="auto"/>
            <w:vAlign w:val="center"/>
            <w:hideMark/>
          </w:tcPr>
          <w:p w14:paraId="20773357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Hauptergebnis für Teil B: Quadranten-Klassifikation aus 4.1 differenziert das Reaktionsverhalten in Krisen. Konfirmatorisch aus </w:t>
            </w:r>
            <w:proofErr w:type="spellStart"/>
            <w:proofErr w:type="gramStart"/>
            <w:r w:rsidRPr="0025402A">
              <w:rPr>
                <w:rFonts w:eastAsia="Times New Roman" w:cs="Courier New"/>
                <w:kern w:val="0"/>
                <w:sz w:val="20"/>
                <w:szCs w:val="20"/>
                <w:lang w:eastAsia="de-DE"/>
                <w14:ligatures w14:val="none"/>
              </w:rPr>
              <w:t>analysis.ipynb</w:t>
            </w:r>
            <w:proofErr w:type="spellEnd"/>
            <w:proofErr w:type="gram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: GFC Volatil vs. Stabil ROA 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r_rb</w:t>
            </w:r>
            <w:proofErr w:type="spell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= −0,36, COVID 4-Quadranten Current Ratio ε² = 0,13 (beide 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Bonferroni</w:t>
            </w:r>
            <w:proofErr w:type="spell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-signifikant)</w:t>
            </w:r>
          </w:p>
        </w:tc>
        <w:tc>
          <w:tcPr>
            <w:tcW w:w="0" w:type="auto"/>
            <w:vAlign w:val="center"/>
            <w:hideMark/>
          </w:tcPr>
          <w:p w14:paraId="17F966A0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wendet die statische FF1-Klassifikation als Prädiktor an</w:t>
            </w:r>
          </w:p>
        </w:tc>
      </w:tr>
      <w:tr w:rsidR="0025402A" w:rsidRPr="0025402A" w14:paraId="3809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31F4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5.2.5 Cross-Kennzahl-Reaktionsmuster</w:t>
            </w:r>
          </w:p>
        </w:tc>
        <w:tc>
          <w:tcPr>
            <w:tcW w:w="0" w:type="auto"/>
            <w:vAlign w:val="center"/>
            <w:hideMark/>
          </w:tcPr>
          <w:p w14:paraId="14F7657D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1FD2C06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Welche Kennzahlen sind in welchem Event am stärksten gestört? Profitabilitäts-Kennzahlen in allen drei Events, Kapitalstruktur eher GFC-spezifisch</w:t>
            </w:r>
          </w:p>
        </w:tc>
        <w:tc>
          <w:tcPr>
            <w:tcW w:w="0" w:type="auto"/>
            <w:vAlign w:val="center"/>
            <w:hideMark/>
          </w:tcPr>
          <w:p w14:paraId="188EC430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ergänzt 5.2.4 in der Kennzahl-Achse</w:t>
            </w:r>
          </w:p>
        </w:tc>
      </w:tr>
      <w:tr w:rsidR="0025402A" w:rsidRPr="0025402A" w14:paraId="1CF64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F3E2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5.2.6 Branchen-Heterogenität</w:t>
            </w:r>
          </w:p>
        </w:tc>
        <w:tc>
          <w:tcPr>
            <w:tcW w:w="0" w:type="auto"/>
            <w:vAlign w:val="center"/>
            <w:hideMark/>
          </w:tcPr>
          <w:p w14:paraId="6F77F5CC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81D8500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Innerhalb derselben Krise unterscheiden sich die Branchen-Reaktionen erheblich (Kruskal-Wallis pro Event × Branche)</w:t>
            </w:r>
          </w:p>
        </w:tc>
        <w:tc>
          <w:tcPr>
            <w:tcW w:w="0" w:type="auto"/>
            <w:vAlign w:val="center"/>
            <w:hideMark/>
          </w:tcPr>
          <w:p w14:paraId="4F842E6F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bereitet die externe Validierung der Quadranten-Zugehörigkeit über Branche in FF3 vor</w:t>
            </w:r>
          </w:p>
        </w:tc>
      </w:tr>
      <w:tr w:rsidR="0025402A" w:rsidRPr="0025402A" w14:paraId="7C20E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C570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5.3 Interpretation (pragmatisch)</w:t>
            </w:r>
          </w:p>
        </w:tc>
        <w:tc>
          <w:tcPr>
            <w:tcW w:w="0" w:type="auto"/>
            <w:vAlign w:val="center"/>
            <w:hideMark/>
          </w:tcPr>
          <w:p w14:paraId="26BE1389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beide</w:t>
            </w:r>
          </w:p>
        </w:tc>
        <w:tc>
          <w:tcPr>
            <w:tcW w:w="0" w:type="auto"/>
            <w:vAlign w:val="center"/>
            <w:hideMark/>
          </w:tcPr>
          <w:p w14:paraId="65002AEF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Trennt mechanische von </w:t>
            </w:r>
            <w:proofErr w:type="gram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substantiellen</w:t>
            </w:r>
            <w:proofErr w:type="gramEnd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Kopplungen, wertet Hypothesen-Katalog H1 bis H4 aus, ordnet Quadranten-Reaktionen ökonomisch ein, benennt Deutungsgrenzen</w:t>
            </w:r>
          </w:p>
        </w:tc>
        <w:tc>
          <w:tcPr>
            <w:tcW w:w="0" w:type="auto"/>
            <w:vAlign w:val="center"/>
            <w:hideMark/>
          </w:tcPr>
          <w:p w14:paraId="527C0D8E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nutzt die Vier-Achsen-Logik aus 4.3 als Rahmen, doppelt sie aber nicht</w:t>
            </w:r>
          </w:p>
        </w:tc>
      </w:tr>
      <w:tr w:rsidR="0025402A" w:rsidRPr="0025402A" w14:paraId="671EC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765B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5.4 Erkenntnisse aus FF2</w:t>
            </w:r>
          </w:p>
        </w:tc>
        <w:tc>
          <w:tcPr>
            <w:tcW w:w="0" w:type="auto"/>
            <w:vAlign w:val="center"/>
            <w:hideMark/>
          </w:tcPr>
          <w:p w14:paraId="737933EF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beide</w:t>
            </w:r>
          </w:p>
        </w:tc>
        <w:tc>
          <w:tcPr>
            <w:tcW w:w="0" w:type="auto"/>
            <w:vAlign w:val="center"/>
            <w:hideMark/>
          </w:tcPr>
          <w:p w14:paraId="0BCA3E7B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Zwei konsolidierte Aussagen: (1) Drei-Dynamiktypen wirken auch auf Interdependenz-Ebene, (2) Quadranten-Klassifikation hat prädiktive Kraft für Krisenverhalten. Brücke zu Forschungsfrage 3</w:t>
            </w:r>
          </w:p>
        </w:tc>
        <w:tc>
          <w:tcPr>
            <w:tcW w:w="0" w:type="auto"/>
            <w:vAlign w:val="center"/>
            <w:hideMark/>
          </w:tcPr>
          <w:p w14:paraId="68CBA250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greift 5.1 und 5.2 zusammen</w:t>
            </w:r>
          </w:p>
        </w:tc>
      </w:tr>
      <w:tr w:rsidR="0025402A" w:rsidRPr="0025402A" w14:paraId="69524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9698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5.5 Robustheit</w:t>
            </w:r>
          </w:p>
        </w:tc>
        <w:tc>
          <w:tcPr>
            <w:tcW w:w="0" w:type="auto"/>
            <w:vAlign w:val="center"/>
            <w:hideMark/>
          </w:tcPr>
          <w:p w14:paraId="02121C97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beide</w:t>
            </w:r>
          </w:p>
        </w:tc>
        <w:tc>
          <w:tcPr>
            <w:tcW w:w="0" w:type="auto"/>
            <w:vAlign w:val="center"/>
            <w:hideMark/>
          </w:tcPr>
          <w:p w14:paraId="0BDF7864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Stabilität der Korrelations-Matrix über drei Teilperioden, alternative Event-Fenster ±1 Quartal, Sensitivität gegenüber </w:t>
            </w:r>
            <w:proofErr w:type="spell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Winsorisierung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A5C44" w14:textId="77777777" w:rsidR="0025402A" w:rsidRPr="0025402A" w:rsidRDefault="0025402A" w:rsidP="0025402A">
            <w:pPr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prüft, ob die Hauptaussagen aus 5.1/5.2 nicht von einer einzelnen Phase oder einer methodischen </w:t>
            </w:r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lastRenderedPageBreak/>
              <w:t xml:space="preserve">Entscheidung getragen </w:t>
            </w:r>
            <w:proofErr w:type="gramStart"/>
            <w:r w:rsidRPr="0025402A">
              <w:rPr>
                <w:rFonts w:eastAsia="Times New Roman" w:cs="Times New Roman"/>
                <w:kern w:val="0"/>
                <w:lang w:eastAsia="de-DE"/>
                <w14:ligatures w14:val="none"/>
              </w:rPr>
              <w:t>werden</w:t>
            </w:r>
            <w:proofErr w:type="gramEnd"/>
          </w:p>
        </w:tc>
      </w:tr>
    </w:tbl>
    <w:p w14:paraId="15B50C18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lastRenderedPageBreak/>
        <w:t>Argumentations-Geometrie über das gesamte Kapitel:</w:t>
      </w:r>
    </w:p>
    <w:p w14:paraId="5D9DA532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Die Antwort auf Teil A wird in 5.1.2 (Korrektur-Kopplung) gesetzt, in 5.1.3 (Schock-Kopplung) kontrastiert und in 5.1.4 (zwei Dimensionen) abgeschlossen. Die Antwort auf Teil B wird in 5.2.4 (Quadranten in Krisen) gesetzt und in 5.2.5/5.2.6 in Kennzahl- und Branchen-Richtung ausgeschärft. 5.2.1 (Aggregat-Drift) und 5.1.5 (Lead-Lag) sind die zwei Übergänge zwischen Teil A und Teil B, jeweils mit umgekehrter Blickrichtung: Drift schaut langfristig in die Zeit, Lead-Lag kurzfristig. 5.3 und 5.4 trennen mechanische und ökonomische Befunde, 5.5 sichert ab.</w:t>
      </w:r>
    </w:p>
    <w:p w14:paraId="03D75D03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>Eine Schwachstelle der Geometrie: 5.2.1 Aggregat-Drift kommt logisch vor der Event-Methodik, hängt aber inhaltlich näher an 5.1.3 σ̂-Matrix (Volatilitäts-Niveau über die Zeit). Eine Alternative wäre 5.1.6 statt 5.2.1. Ich präferiere trotzdem 5.2.1, weil Aggregat-Drift eine zeitliche Aussage ist und damit 5.2 thematisch eröffnet, statt 5.1 thematisch zu sprengen.</w:t>
      </w:r>
    </w:p>
    <w:p w14:paraId="7817FA81" w14:textId="77777777" w:rsidR="0025402A" w:rsidRPr="0025402A" w:rsidRDefault="0025402A" w:rsidP="0025402A">
      <w:pPr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Vorschlag für 5.0</w:t>
      </w:r>
    </w:p>
    <w:p w14:paraId="04C39FE4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>Stil-Kontrolle gegen Memory:</w:t>
      </w:r>
    </w:p>
    <w:p w14:paraId="5FD9A978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Forschungsfrage als visueller Block mit Italics-Frage (Punkt 22)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3C4750E9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Aufbau-Absatz mit variierenden Verben: berechnet, ergänzt, verfolgt, weist aus, vergleicht, ordnet ein, trennt, fasst zusammen, prüft (Punkt 23)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16F7DF33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„Forschungsfrage 1/2/3" ausgeschrieben (Punkt 24)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3E3A783A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Keine </w:t>
      </w: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Em-Dashes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, keine Semikolons (Punkt 9, 38)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64231499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„Branche" statt „Sektor", „Dynamiktypen" statt „Schichten" (Punkt 61, 2)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30DA0F05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Keine Meta-Floskeln („Im Folgenden", „Es lässt sich beobachten") (Punkt 5)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387EF9B3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Keine „Sub"-Wörter (Punkt 33)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7A3E1B6B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Mittellange Satzgefüge statt Stakkato (Punkt 13)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3BAEDE71" w14:textId="77777777" w:rsidR="0025402A" w:rsidRPr="0025402A" w:rsidRDefault="0025402A" w:rsidP="0025402A">
      <w:pPr>
        <w:numPr>
          <w:ilvl w:val="0"/>
          <w:numId w:val="1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Brücke zu FF3 am Schluss, nicht am Anfang (Punkt 48) </w:t>
      </w:r>
      <w:r w:rsidRPr="0025402A">
        <w:rPr>
          <w:rFonts w:eastAsia="Times New Roman" w:cs="Segoe UI Symbol"/>
          <w:kern w:val="0"/>
          <w:lang w:eastAsia="de-DE"/>
          <w14:ligatures w14:val="none"/>
        </w:rPr>
        <w:t>✓</w:t>
      </w:r>
    </w:p>
    <w:p w14:paraId="3E987795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>Drei kleine Entscheidungen, die du noch fixieren solltest, bevor das in Doc geht:</w:t>
      </w:r>
    </w:p>
    <w:p w14:paraId="7A30637F" w14:textId="77777777" w:rsidR="0025402A" w:rsidRPr="0025402A" w:rsidRDefault="0025402A" w:rsidP="0025402A">
      <w:pPr>
        <w:numPr>
          <w:ilvl w:val="0"/>
          <w:numId w:val="2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»Anführungszeichen« vs. </w:t>
      </w:r>
      <w:r w:rsidRPr="0025402A">
        <w:rPr>
          <w:rFonts w:eastAsia="Times New Roman" w:cs="Times New Roman"/>
          <w:b/>
          <w:bCs/>
          <w:i/>
          <w:iCs/>
          <w:kern w:val="0"/>
          <w:lang w:eastAsia="de-DE"/>
          <w14:ligatures w14:val="none"/>
        </w:rPr>
        <w:t>kursiv</w:t>
      </w: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 für die Forschungsfrage</w:t>
      </w: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— in Kap. 4 hast du es kursiv gemacht. Ich habe oben deutsche </w:t>
      </w: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Guillemets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benutzt, weil dein 4-Stil das laut Memory mit Kursiv löst. Wenn ich umstelle: kursiv ohne Anführung.</w:t>
      </w:r>
    </w:p>
    <w:p w14:paraId="2D65ED35" w14:textId="77777777" w:rsidR="0025402A" w:rsidRPr="0025402A" w:rsidRDefault="0025402A" w:rsidP="0025402A">
      <w:pPr>
        <w:numPr>
          <w:ilvl w:val="0"/>
          <w:numId w:val="2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Geschätzte </w:t>
      </w:r>
      <w:proofErr w:type="gramStart"/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>AR(1)-</w:t>
      </w:r>
      <w:proofErr w:type="gramEnd"/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>Parameter — Notation</w:t>
      </w: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φ̂₁ und σ̂ mit Dach, oder ohne (φ₁, σ)? In 4.x hattest du ohne Dach geschrieben („φ-Median", „σ-Median"), in der Antwort eben oben hast du mit Dach gesagt („φ̂₁ und σ̂"). Eine durchgängige Wahl wäre konsistent.</w:t>
      </w:r>
    </w:p>
    <w:p w14:paraId="3A49DDA6" w14:textId="77777777" w:rsidR="0025402A" w:rsidRPr="0025402A" w:rsidRDefault="0025402A" w:rsidP="0025402A">
      <w:pPr>
        <w:numPr>
          <w:ilvl w:val="0"/>
          <w:numId w:val="2"/>
        </w:num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b/>
          <w:bCs/>
          <w:kern w:val="0"/>
          <w:lang w:eastAsia="de-DE"/>
          <w14:ligatures w14:val="none"/>
        </w:rPr>
        <w:t>Auswahl der Event-Bezeichnungen im Lead</w:t>
      </w: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 — „Globale Finanzkrise 2009Q2" oder „GFC 2009Q2"? Der Anglizismus „GFC" steht im Skelett und im neuen Notebook. Im Fließtext spricht Memory-Punkt 18 für die deutsche Form, dann „GFC" nur als Klammerzusatz beim ersten Vorkommen.</w:t>
      </w:r>
    </w:p>
    <w:p w14:paraId="3EC90983" w14:textId="77777777" w:rsidR="0025402A" w:rsidRPr="0025402A" w:rsidRDefault="0025402A" w:rsidP="0025402A">
      <w:pPr>
        <w:rPr>
          <w:rFonts w:eastAsia="Times New Roman" w:cs="Times New Roman"/>
          <w:kern w:val="0"/>
          <w:lang w:eastAsia="de-DE"/>
          <w14:ligatures w14:val="none"/>
        </w:rPr>
      </w:pPr>
      <w:r w:rsidRPr="0025402A">
        <w:rPr>
          <w:rFonts w:eastAsia="Times New Roman" w:cs="Times New Roman"/>
          <w:kern w:val="0"/>
          <w:lang w:eastAsia="de-DE"/>
          <w14:ligatures w14:val="none"/>
        </w:rPr>
        <w:t xml:space="preserve">Wenn du diese drei Notations-Sachen fixierst, baue ich den Lead samt Skelett-Anpassung (Aggregat-Drift als 5.2.1, Branche-Umstellung, </w:t>
      </w:r>
      <w:proofErr w:type="spellStart"/>
      <w:r w:rsidRPr="0025402A">
        <w:rPr>
          <w:rFonts w:eastAsia="Times New Roman" w:cs="Times New Roman"/>
          <w:kern w:val="0"/>
          <w:lang w:eastAsia="de-DE"/>
          <w14:ligatures w14:val="none"/>
        </w:rPr>
        <w:t>Cramér</w:t>
      </w:r>
      <w:proofErr w:type="spellEnd"/>
      <w:r w:rsidRPr="0025402A">
        <w:rPr>
          <w:rFonts w:eastAsia="Times New Roman" w:cs="Times New Roman"/>
          <w:kern w:val="0"/>
          <w:lang w:eastAsia="de-DE"/>
          <w14:ligatures w14:val="none"/>
        </w:rPr>
        <w:t>-V-Notiz raus, Anpassung 5.0-Eröffnungs-Absätze) ins Arbeitstext-Doc ein.</w:t>
      </w:r>
    </w:p>
    <w:p w14:paraId="4DCB4148" w14:textId="77777777" w:rsidR="000F6B55" w:rsidRPr="0025402A" w:rsidRDefault="000F6B55" w:rsidP="0025402A"/>
    <w:sectPr w:rsidR="000F6B55" w:rsidRPr="00254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D3BD8"/>
    <w:multiLevelType w:val="multilevel"/>
    <w:tmpl w:val="305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D7D95"/>
    <w:multiLevelType w:val="multilevel"/>
    <w:tmpl w:val="010C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236013">
    <w:abstractNumId w:val="0"/>
  </w:num>
  <w:num w:numId="2" w16cid:durableId="208687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2A"/>
    <w:rsid w:val="000F6B55"/>
    <w:rsid w:val="0025402A"/>
    <w:rsid w:val="00652786"/>
    <w:rsid w:val="0069760C"/>
    <w:rsid w:val="00C20C00"/>
    <w:rsid w:val="00E0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610DB"/>
  <w15:chartTrackingRefBased/>
  <w15:docId w15:val="{D5626B8B-9411-7E47-9AD7-2447FDB8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4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4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40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40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40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40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5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4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40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40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40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40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40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40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4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40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4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40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40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40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40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402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540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25402A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25402A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54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5402A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254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1208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Mourier</dc:creator>
  <cp:keywords/>
  <dc:description/>
  <cp:lastModifiedBy>Tobias Mourier</cp:lastModifiedBy>
  <cp:revision>1</cp:revision>
  <dcterms:created xsi:type="dcterms:W3CDTF">2026-05-19T19:21:00Z</dcterms:created>
  <dcterms:modified xsi:type="dcterms:W3CDTF">2026-05-20T23:15:00Z</dcterms:modified>
</cp:coreProperties>
</file>