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7BD5" w14:textId="77777777" w:rsidR="00186ADB" w:rsidRDefault="00186ADB" w:rsidP="00186ADB">
      <w:pPr>
        <w:pStyle w:val="berschrift1"/>
        <w:spacing w:after="120"/>
      </w:pPr>
      <w:bookmarkStart w:id="0" w:name="_Toc228035746"/>
      <w:proofErr w:type="gramStart"/>
      <w:r>
        <w:t>5  Ergebnisse</w:t>
      </w:r>
      <w:proofErr w:type="gramEnd"/>
      <w:r>
        <w:t xml:space="preserve"> FF2: Interdependenzen und zeitliche Manifestation</w:t>
      </w:r>
      <w:bookmarkEnd w:id="0"/>
    </w:p>
    <w:p w14:paraId="3A87F892" w14:textId="1BCC21B7" w:rsidR="00813D99" w:rsidRDefault="00813D99" w:rsidP="00813D99">
      <w:pPr>
        <w:rPr>
          <w:lang w:eastAsia="en-US"/>
        </w:rPr>
      </w:pPr>
      <w:r>
        <w:rPr>
          <w:lang w:eastAsia="en-US"/>
        </w:rPr>
        <w:t>Ich untersuche Interdependenzen zwischen den betrachteten Kennzahlen in Kombination mit dem Verhalten der Unternehmen in Krisensituationen.</w:t>
      </w:r>
    </w:p>
    <w:p w14:paraId="1A0D456B" w14:textId="20F1C9A2" w:rsidR="00813D99" w:rsidRDefault="00813D99" w:rsidP="00813D99">
      <w:pPr>
        <w:rPr>
          <w:lang w:eastAsia="en-US"/>
        </w:rPr>
      </w:pPr>
      <w:r>
        <w:rPr>
          <w:lang w:eastAsia="en-US"/>
        </w:rPr>
        <w:t>Im folgenden Kapitel werden in der Interdependenzanalyse querschnittlich auf Levels Spearman Korrelationen untersucht. Zusätzlich wird in Kapitel 5.1.5 mit Hilfe der Kreuzkorrelationsmatrix zeitlich verschobene Interdependenzen aufgedeckt.</w:t>
      </w:r>
    </w:p>
    <w:p w14:paraId="4C7B18B2" w14:textId="3A3B36BB" w:rsidR="00813D99" w:rsidRDefault="00813D99" w:rsidP="00813D99">
      <w:pPr>
        <w:rPr>
          <w:lang w:eastAsia="en-US"/>
        </w:rPr>
      </w:pPr>
      <w:r>
        <w:rPr>
          <w:lang w:eastAsia="en-US"/>
        </w:rPr>
        <w:t>Im Kapitel 5.2 wird die Auswirkungen von Krisen (z.B. Corona) auf die zeitliche Dynamik der Unternehmenskennzahlen erforscht.</w:t>
      </w:r>
    </w:p>
    <w:p w14:paraId="29E80157" w14:textId="1D2E8032" w:rsidR="00582A09" w:rsidRPr="00582A09" w:rsidRDefault="00582A09" w:rsidP="00813D99">
      <w:pPr>
        <w:rPr>
          <w:lang w:eastAsia="en-US"/>
        </w:rPr>
      </w:pPr>
      <w:r w:rsidRPr="00582A09">
        <w:rPr>
          <w:lang w:eastAsia="en-US"/>
        </w:rPr>
        <w:t>Das Fazit der beiden U</w:t>
      </w:r>
      <w:r>
        <w:rPr>
          <w:lang w:eastAsia="en-US"/>
        </w:rPr>
        <w:t>ntersuchungen erfolgt in Kapitel 5.3.</w:t>
      </w:r>
    </w:p>
    <w:p w14:paraId="48878D65" w14:textId="06AECD87" w:rsidR="00186ADB" w:rsidRPr="00582A09" w:rsidRDefault="00186ADB" w:rsidP="00186ADB">
      <w:pPr>
        <w:pBdr>
          <w:left w:val="single" w:sz="18" w:space="12" w:color="1F4E79"/>
        </w:pBdr>
        <w:shd w:val="clear" w:color="auto" w:fill="EAF1F8"/>
        <w:spacing w:before="80" w:after="40"/>
        <w:ind w:left="360"/>
        <w:rPr>
          <w:lang w:val="pt-PT"/>
        </w:rPr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 w:rsidRPr="00582A09">
        <w:rPr>
          <w:b/>
          <w:bCs/>
          <w:i/>
          <w:iCs/>
          <w:color w:val="1F4E79"/>
          <w:lang w:val="pt-PT"/>
        </w:rPr>
        <w:t xml:space="preserve">  </w:t>
      </w:r>
      <w:proofErr w:type="spellStart"/>
      <w:r w:rsidRPr="00582A09">
        <w:rPr>
          <w:b/>
          <w:bCs/>
          <w:i/>
          <w:iCs/>
          <w:color w:val="1F4E79"/>
          <w:lang w:val="pt-PT"/>
        </w:rPr>
        <w:t>Notiz</w:t>
      </w:r>
      <w:proofErr w:type="spellEnd"/>
      <w:proofErr w:type="gramEnd"/>
      <w:r w:rsidRPr="00582A09">
        <w:rPr>
          <w:b/>
          <w:bCs/>
          <w:i/>
          <w:iCs/>
          <w:color w:val="1F4E79"/>
          <w:lang w:val="pt-PT"/>
        </w:rPr>
        <w:t xml:space="preserve"> </w:t>
      </w:r>
    </w:p>
    <w:p w14:paraId="13482EA4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40"/>
        <w:ind w:left="360"/>
      </w:pPr>
      <w:r>
        <w:rPr>
          <w:rFonts w:ascii="Apple Color Emoji" w:hAnsi="Apple Color Emoji" w:cs="Apple Color Emoji"/>
          <w:b/>
          <w:bCs/>
          <w:i/>
          <w:iCs/>
          <w:color w:val="1F4E79"/>
        </w:rPr>
        <w:t>⚠</w:t>
      </w:r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Cramér's</w:t>
      </w:r>
      <w:proofErr w:type="spellEnd"/>
      <w:r>
        <w:rPr>
          <w:b/>
          <w:bCs/>
          <w:i/>
          <w:iCs/>
          <w:color w:val="1F4E79"/>
        </w:rPr>
        <w:t xml:space="preserve"> V-Altlast: </w:t>
      </w:r>
      <w:r>
        <w:rPr>
          <w:i/>
          <w:iCs/>
          <w:color w:val="1F4E79"/>
        </w:rPr>
        <w:t>der alte Abschnitt 6.2.4 ‚</w:t>
      </w:r>
      <w:proofErr w:type="spellStart"/>
      <w:r>
        <w:rPr>
          <w:i/>
          <w:iCs/>
          <w:color w:val="1F4E79"/>
        </w:rPr>
        <w:t>Quadrantenüberschneidungen</w:t>
      </w:r>
      <w:proofErr w:type="spellEnd"/>
      <w:r>
        <w:rPr>
          <w:i/>
          <w:iCs/>
          <w:color w:val="1F4E79"/>
        </w:rPr>
        <w:t xml:space="preserve"> (</w:t>
      </w:r>
      <w:proofErr w:type="spellStart"/>
      <w:r>
        <w:rPr>
          <w:i/>
          <w:iCs/>
          <w:color w:val="1F4E79"/>
        </w:rPr>
        <w:t>Cramér's</w:t>
      </w:r>
      <w:proofErr w:type="spellEnd"/>
      <w:r>
        <w:rPr>
          <w:i/>
          <w:iCs/>
          <w:color w:val="1F4E79"/>
        </w:rPr>
        <w:t xml:space="preserve"> V)‘ muss ersetzt werden durch eine Spearman-Rangkorrelations-Auswertung. Prof-Entscheidung 26.03.2026. — Bitte in diesem Kapitel NICHT wieder aufnehmen; </w:t>
      </w:r>
      <w:proofErr w:type="spellStart"/>
      <w:r>
        <w:rPr>
          <w:i/>
          <w:iCs/>
          <w:color w:val="1F4E79"/>
        </w:rPr>
        <w:t>Cramér's</w:t>
      </w:r>
      <w:proofErr w:type="spellEnd"/>
      <w:r>
        <w:rPr>
          <w:i/>
          <w:iCs/>
          <w:color w:val="1F4E79"/>
        </w:rPr>
        <w:t xml:space="preserve"> V bleibt ausschließlich in Kap. 6 (FF3).</w:t>
      </w:r>
    </w:p>
    <w:p w14:paraId="5331FFFA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40"/>
        <w:ind w:left="360"/>
      </w:pPr>
      <w:r>
        <w:rPr>
          <w:b/>
          <w:bCs/>
          <w:i/>
          <w:iCs/>
          <w:color w:val="1F4E79"/>
        </w:rPr>
        <w:t xml:space="preserve">Kapitelziel: </w:t>
      </w:r>
      <w:r>
        <w:rPr>
          <w:i/>
          <w:iCs/>
          <w:color w:val="1F4E79"/>
        </w:rPr>
        <w:t xml:space="preserve">Interdependenzen zwischen Kennzahlen auf φ₁- und σ-Ebene zeigen (Blockstruktur + </w:t>
      </w:r>
      <w:proofErr w:type="spellStart"/>
      <w:r>
        <w:rPr>
          <w:i/>
          <w:iCs/>
          <w:color w:val="1F4E79"/>
        </w:rPr>
        <w:t>Leverage</w:t>
      </w:r>
      <w:proofErr w:type="spellEnd"/>
      <w:r>
        <w:rPr>
          <w:i/>
          <w:iCs/>
          <w:color w:val="1F4E79"/>
        </w:rPr>
        <w:t>-Bogen); datengetriebene Event-Analyse mit drei identifizierten Peak-Windows (Dot-</w:t>
      </w:r>
      <w:proofErr w:type="spellStart"/>
      <w:r>
        <w:rPr>
          <w:i/>
          <w:iCs/>
          <w:color w:val="1F4E79"/>
        </w:rPr>
        <w:t>Com</w:t>
      </w:r>
      <w:proofErr w:type="spellEnd"/>
      <w:r>
        <w:rPr>
          <w:i/>
          <w:iCs/>
          <w:color w:val="1F4E79"/>
        </w:rPr>
        <w:t xml:space="preserve"> 2001Q4, GFC 2009Q2, COVID 2020Q3); Reaktionsmuster nach </w:t>
      </w:r>
      <w:proofErr w:type="spellStart"/>
      <w:r>
        <w:rPr>
          <w:i/>
          <w:iCs/>
          <w:color w:val="1F4E79"/>
        </w:rPr>
        <w:t>Quadrantentyp</w:t>
      </w:r>
      <w:proofErr w:type="spellEnd"/>
      <w:r>
        <w:rPr>
          <w:i/>
          <w:iCs/>
          <w:color w:val="1F4E79"/>
        </w:rPr>
        <w:t>.</w:t>
      </w:r>
    </w:p>
    <w:p w14:paraId="4035EEB7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40"/>
        <w:ind w:left="360"/>
      </w:pPr>
      <w:r>
        <w:rPr>
          <w:b/>
          <w:bCs/>
          <w:i/>
          <w:iCs/>
          <w:color w:val="1F4E79"/>
        </w:rPr>
        <w:t xml:space="preserve">Umfang: </w:t>
      </w:r>
      <w:r>
        <w:rPr>
          <w:i/>
          <w:iCs/>
          <w:color w:val="1F4E79"/>
        </w:rPr>
        <w:t>8–10 Seiten.</w:t>
      </w:r>
    </w:p>
    <w:p w14:paraId="7013B499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40"/>
        <w:ind w:left="360"/>
      </w:pPr>
      <w:r>
        <w:rPr>
          <w:b/>
          <w:bCs/>
          <w:i/>
          <w:iCs/>
          <w:color w:val="1F4E79"/>
        </w:rPr>
        <w:t xml:space="preserve">Grundlage: </w:t>
      </w:r>
      <w:proofErr w:type="spellStart"/>
      <w:r>
        <w:rPr>
          <w:i/>
          <w:iCs/>
          <w:color w:val="1F4E79"/>
        </w:rPr>
        <w:t>output</w:t>
      </w:r>
      <w:proofErr w:type="spellEnd"/>
      <w:r>
        <w:rPr>
          <w:i/>
          <w:iCs/>
          <w:color w:val="1F4E79"/>
        </w:rPr>
        <w:t>/FF2_Interdependenz_Events.md.</w:t>
      </w:r>
    </w:p>
    <w:p w14:paraId="3F0454C8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200"/>
        <w:ind w:left="360"/>
      </w:pPr>
      <w:r>
        <w:rPr>
          <w:b/>
          <w:bCs/>
          <w:i/>
          <w:iCs/>
          <w:color w:val="1F4E79"/>
        </w:rPr>
        <w:t xml:space="preserve">Gliederung neu 23.04.2026: </w:t>
      </w:r>
      <w:r>
        <w:rPr>
          <w:i/>
          <w:iCs/>
          <w:color w:val="1F4E79"/>
        </w:rPr>
        <w:t xml:space="preserve">5.1 Querschnittliche Interdependenz (Methodik + φ₁-Matrix + σ-Matrix + φ₁ </w:t>
      </w:r>
      <w:proofErr w:type="spellStart"/>
      <w:r>
        <w:rPr>
          <w:i/>
          <w:iCs/>
          <w:color w:val="1F4E79"/>
        </w:rPr>
        <w:t>vs</w:t>
      </w:r>
      <w:proofErr w:type="spellEnd"/>
      <w:r>
        <w:rPr>
          <w:i/>
          <w:iCs/>
          <w:color w:val="1F4E79"/>
        </w:rPr>
        <w:t xml:space="preserve"> σ + Lead-Lag) · 5.2 Zeitliche Manifestation (Methodik + Events + Quadranten-Reaktionen + Cross-Ratio + Sektor-Heterogenität) · 5.3 Interpretation (Blockstruktur, </w:t>
      </w:r>
      <w:proofErr w:type="spellStart"/>
      <w:r>
        <w:rPr>
          <w:i/>
          <w:iCs/>
          <w:color w:val="1F4E79"/>
        </w:rPr>
        <w:t>Leverage</w:t>
      </w:r>
      <w:proofErr w:type="spellEnd"/>
      <w:r>
        <w:rPr>
          <w:i/>
          <w:iCs/>
          <w:color w:val="1F4E79"/>
        </w:rPr>
        <w:t>-Bogen, Event-Signatur, ökonomische Deutung) · 5.4 Erkenntnisse aus FF2 · 5.5 Robustheit.</w:t>
      </w:r>
    </w:p>
    <w:p w14:paraId="39555A73" w14:textId="2CF0C4BC" w:rsidR="00813D99" w:rsidRPr="00813D99" w:rsidRDefault="00186ADB" w:rsidP="0049690C">
      <w:pPr>
        <w:pStyle w:val="berschrift2"/>
        <w:spacing w:before="280" w:after="120"/>
      </w:pPr>
      <w:bookmarkStart w:id="1" w:name="_Toc228035747"/>
      <w:proofErr w:type="gramStart"/>
      <w:r>
        <w:t>5.1  Querschnittliche</w:t>
      </w:r>
      <w:proofErr w:type="gramEnd"/>
      <w:r>
        <w:t xml:space="preserve"> Interdependenz</w:t>
      </w:r>
      <w:bookmarkEnd w:id="1"/>
    </w:p>
    <w:p w14:paraId="2D949430" w14:textId="77777777" w:rsidR="00186ADB" w:rsidRDefault="00186ADB" w:rsidP="00186ADB">
      <w:pPr>
        <w:pStyle w:val="berschrift3"/>
        <w:spacing w:before="280" w:after="120"/>
      </w:pPr>
      <w:bookmarkStart w:id="2" w:name="_Toc228035748"/>
      <w:proofErr w:type="gramStart"/>
      <w:r>
        <w:t>5.1.1  Methodik</w:t>
      </w:r>
      <w:proofErr w:type="gramEnd"/>
      <w:r>
        <w:t xml:space="preserve"> der Querschnittsanalyse</w:t>
      </w:r>
      <w:bookmarkEnd w:id="2"/>
    </w:p>
    <w:p w14:paraId="657C9877" w14:textId="793DD13D" w:rsidR="0049690C" w:rsidRPr="00026453" w:rsidRDefault="0049690C" w:rsidP="0049690C">
      <w:pPr>
        <w:pBdr>
          <w:left w:val="single" w:sz="18" w:space="12" w:color="1F4E79"/>
        </w:pBdr>
        <w:shd w:val="clear" w:color="auto" w:fill="EAF1F8"/>
        <w:spacing w:before="80" w:after="40"/>
        <w:ind w:left="360"/>
      </w:pPr>
      <w:r>
        <w:rPr>
          <w:rFonts w:ascii="Apple Color Emoji" w:hAnsi="Apple Color Emoji" w:cs="Apple Color Emoji"/>
          <w:b/>
          <w:bCs/>
          <w:i/>
          <w:iCs/>
          <w:color w:val="1F4E79"/>
        </w:rPr>
        <w:t xml:space="preserve">📝 </w:t>
      </w:r>
      <w:r w:rsidR="00026453">
        <w:rPr>
          <w:rFonts w:ascii="Apple Color Emoji" w:hAnsi="Apple Color Emoji" w:cs="Apple Color Emoji"/>
          <w:b/>
          <w:bCs/>
          <w:i/>
          <w:iCs/>
          <w:color w:val="1F4E79"/>
        </w:rPr>
        <w:t>Kreuzkorrelationsmatrix</w:t>
      </w:r>
    </w:p>
    <w:p w14:paraId="51D0E9C2" w14:textId="77777777" w:rsidR="00186ADB" w:rsidRDefault="00186ADB" w:rsidP="00186ADB">
      <w:pPr>
        <w:pStyle w:val="berschrift3"/>
        <w:spacing w:before="280" w:after="120"/>
      </w:pPr>
      <w:bookmarkStart w:id="3" w:name="_Toc228035749"/>
      <w:proofErr w:type="gramStart"/>
      <w:r>
        <w:t>5.1.2  Die</w:t>
      </w:r>
      <w:proofErr w:type="gramEnd"/>
      <w:r>
        <w:t xml:space="preserve"> φ₁-Korrelationsmatrix</w:t>
      </w:r>
      <w:bookmarkEnd w:id="3"/>
    </w:p>
    <w:p w14:paraId="538D1A0D" w14:textId="2B8CDCB5" w:rsidR="0049690C" w:rsidRDefault="0081032A" w:rsidP="0081032A">
      <w:pPr>
        <w:tabs>
          <w:tab w:val="left" w:pos="0"/>
          <w:tab w:val="right" w:pos="9072"/>
        </w:tabs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20AD7100" wp14:editId="75EC2DF5">
            <wp:extent cx="2936072" cy="2509837"/>
            <wp:effectExtent l="0" t="0" r="0" b="5080"/>
            <wp:docPr id="17037526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267" name="Grafik 170375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746" cy="251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ab/>
      </w:r>
      <w:r>
        <w:rPr>
          <w:noProof/>
          <w:lang w:eastAsia="en-US"/>
          <w14:ligatures w14:val="standardContextual"/>
        </w:rPr>
        <w:drawing>
          <wp:inline distT="0" distB="0" distL="0" distR="0" wp14:anchorId="55FBCF7D" wp14:editId="2D05BA8B">
            <wp:extent cx="2590483" cy="2146022"/>
            <wp:effectExtent l="0" t="0" r="635" b="6985"/>
            <wp:docPr id="82124615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46151" name="Grafik 82124615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614" cy="2186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3A882" w14:textId="20851F5F" w:rsidR="007211AC" w:rsidRDefault="001E5BCF" w:rsidP="001E5BCF">
      <w:pPr>
        <w:rPr>
          <w:lang w:eastAsia="en-US"/>
        </w:rPr>
      </w:pPr>
      <w:r>
        <w:rPr>
          <w:lang w:eastAsia="en-US"/>
        </w:rPr>
        <w:lastRenderedPageBreak/>
        <w:t>Große Tabelle; Zusammenhang zur oberen Grafik; einzelne Werte herausgreifen; Interpretation</w:t>
      </w:r>
    </w:p>
    <w:p w14:paraId="597BC235" w14:textId="77777777" w:rsidR="007211AC" w:rsidRDefault="007211AC" w:rsidP="00207FA9">
      <w:pPr>
        <w:rPr>
          <w:lang w:eastAsia="en-US"/>
        </w:rPr>
      </w:pPr>
    </w:p>
    <w:p w14:paraId="205DD02B" w14:textId="512C2AAE" w:rsidR="00377E15" w:rsidRPr="00196E24" w:rsidRDefault="00207FA9" w:rsidP="00377E15">
      <w:pPr>
        <w:rPr>
          <w:color w:val="EE0000"/>
          <w:lang w:eastAsia="en-US"/>
        </w:rPr>
      </w:pPr>
      <w:r>
        <w:rPr>
          <w:lang w:eastAsia="en-US"/>
        </w:rPr>
        <w:t>In der ersten Grafik ist das Ergebnis für alle Unternehmen</w:t>
      </w:r>
      <w:r w:rsidR="00377E15">
        <w:rPr>
          <w:lang w:eastAsia="en-US"/>
        </w:rPr>
        <w:t xml:space="preserve"> der Stichprobe</w:t>
      </w:r>
      <w:r>
        <w:rPr>
          <w:lang w:eastAsia="en-US"/>
        </w:rPr>
        <w:t xml:space="preserve"> dargestellt. Der </w:t>
      </w:r>
      <w:r w:rsidR="00EF6069">
        <w:rPr>
          <w:lang w:eastAsia="en-US"/>
        </w:rPr>
        <w:t>Spearman-Korrelationskoeffizient</w:t>
      </w:r>
      <w:r w:rsidR="00377E15">
        <w:rPr>
          <w:lang w:eastAsia="en-US"/>
        </w:rPr>
        <w:t xml:space="preserve"> zeigt, dass drei Kennzahlen zur Profitabilität – ROA; ROE</w:t>
      </w:r>
      <w:r w:rsidR="00196E24">
        <w:rPr>
          <w:lang w:eastAsia="en-US"/>
        </w:rPr>
        <w:t xml:space="preserve">, </w:t>
      </w:r>
      <w:r w:rsidR="00377E15">
        <w:rPr>
          <w:lang w:eastAsia="en-US"/>
        </w:rPr>
        <w:t>EBIT-Marge</w:t>
      </w:r>
      <w:r w:rsidR="00196E24">
        <w:rPr>
          <w:lang w:eastAsia="en-US"/>
        </w:rPr>
        <w:t xml:space="preserve"> und FCF-Marge</w:t>
      </w:r>
      <w:r w:rsidR="00377E15">
        <w:rPr>
          <w:lang w:eastAsia="en-US"/>
        </w:rPr>
        <w:t xml:space="preserve"> – eine sehr hohe Wechselbeziehung haben. Dies gilt auch in geringere</w:t>
      </w:r>
      <w:r w:rsidR="00196E24">
        <w:rPr>
          <w:lang w:eastAsia="en-US"/>
        </w:rPr>
        <w:t>m</w:t>
      </w:r>
      <w:r w:rsidR="00377E15">
        <w:rPr>
          <w:lang w:eastAsia="en-US"/>
        </w:rPr>
        <w:t xml:space="preserve"> </w:t>
      </w:r>
      <w:r w:rsidR="00196E24">
        <w:rPr>
          <w:lang w:eastAsia="en-US"/>
        </w:rPr>
        <w:t>Maße</w:t>
      </w:r>
      <w:r w:rsidR="00377E15">
        <w:rPr>
          <w:lang w:eastAsia="en-US"/>
        </w:rPr>
        <w:t xml:space="preserve"> für </w:t>
      </w:r>
      <w:r w:rsidR="00196E24">
        <w:rPr>
          <w:lang w:eastAsia="en-US"/>
        </w:rPr>
        <w:t xml:space="preserve">die Kapitalstruktur - </w:t>
      </w:r>
      <w:proofErr w:type="spellStart"/>
      <w:r w:rsidR="00196E24">
        <w:rPr>
          <w:lang w:eastAsia="en-US"/>
        </w:rPr>
        <w:t>Debt</w:t>
      </w:r>
      <w:proofErr w:type="spellEnd"/>
      <w:r w:rsidR="00196E24">
        <w:rPr>
          <w:lang w:eastAsia="en-US"/>
        </w:rPr>
        <w:t xml:space="preserve">/Equity und Eigenkapitalquote - und ihrer Verbindung zur Liquidität – Current Ratio. </w:t>
      </w:r>
      <w:r w:rsidR="00196E24">
        <w:rPr>
          <w:color w:val="EE0000"/>
          <w:lang w:eastAsia="en-US"/>
        </w:rPr>
        <w:t>Vergleichskennzahl zur Liquidität einbauen.</w:t>
      </w:r>
    </w:p>
    <w:p w14:paraId="7BE70F0B" w14:textId="77777777" w:rsidR="00377E15" w:rsidRDefault="00377E15" w:rsidP="00377E15">
      <w:pPr>
        <w:rPr>
          <w:lang w:eastAsia="en-US"/>
        </w:rPr>
      </w:pPr>
    </w:p>
    <w:p w14:paraId="6EBBF89D" w14:textId="77777777" w:rsidR="00196E24" w:rsidRDefault="00196E24" w:rsidP="00377E15">
      <w:pPr>
        <w:rPr>
          <w:lang w:eastAsia="en-US"/>
        </w:rPr>
      </w:pPr>
    </w:p>
    <w:p w14:paraId="1FBFDF31" w14:textId="77777777" w:rsidR="00196E24" w:rsidRDefault="00196E24" w:rsidP="00377E15">
      <w:pPr>
        <w:rPr>
          <w:lang w:eastAsia="en-US"/>
        </w:rPr>
      </w:pPr>
    </w:p>
    <w:p w14:paraId="7576D681" w14:textId="1D1AAB77" w:rsidR="00207FA9" w:rsidRPr="00810B39" w:rsidRDefault="00810B39" w:rsidP="00207FA9">
      <w:pPr>
        <w:rPr>
          <w:lang w:eastAsia="en-US"/>
        </w:rPr>
      </w:pPr>
      <w:r w:rsidRPr="00810B39">
        <w:rPr>
          <w:lang w:eastAsia="en-US"/>
        </w:rPr>
        <w:t>ROE = f(ROA) als Erklär</w:t>
      </w:r>
      <w:r>
        <w:rPr>
          <w:lang w:eastAsia="en-US"/>
        </w:rPr>
        <w:t>ung</w:t>
      </w:r>
    </w:p>
    <w:p w14:paraId="5E85354A" w14:textId="77777777" w:rsidR="00207FA9" w:rsidRPr="00810B39" w:rsidRDefault="00207FA9" w:rsidP="00207FA9">
      <w:pPr>
        <w:rPr>
          <w:lang w:eastAsia="en-US"/>
        </w:rPr>
      </w:pPr>
    </w:p>
    <w:p w14:paraId="1C3200DD" w14:textId="77777777" w:rsidR="00207FA9" w:rsidRPr="00810B39" w:rsidRDefault="00207FA9" w:rsidP="00207FA9">
      <w:pPr>
        <w:rPr>
          <w:lang w:eastAsia="en-US"/>
        </w:rPr>
      </w:pPr>
    </w:p>
    <w:p w14:paraId="56A493B6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proofErr w:type="spellStart"/>
      <w:r>
        <w:rPr>
          <w:i/>
          <w:iCs/>
          <w:color w:val="2E7D32"/>
        </w:rPr>
        <w:t>Heatmap</w:t>
      </w:r>
      <w:proofErr w:type="spellEnd"/>
      <w:r>
        <w:rPr>
          <w:i/>
          <w:iCs/>
          <w:color w:val="2E7D32"/>
        </w:rPr>
        <w:t xml:space="preserve"> Spearman-Korrelation der φ₁-Werte zwischen den 7 Kennzahlen (7×7)</w:t>
      </w:r>
      <w:r>
        <w:br/>
      </w:r>
      <w:r>
        <w:rPr>
          <w:i/>
          <w:iCs/>
          <w:color w:val="2E7D32"/>
          <w:sz w:val="19"/>
          <w:szCs w:val="19"/>
        </w:rPr>
        <w:t>Daten: ar_features.csv (</w:t>
      </w:r>
      <w:proofErr w:type="spellStart"/>
      <w:r>
        <w:rPr>
          <w:i/>
          <w:iCs/>
          <w:color w:val="2E7D32"/>
          <w:sz w:val="19"/>
          <w:szCs w:val="19"/>
        </w:rPr>
        <w:t>pivot</w:t>
      </w:r>
      <w:proofErr w:type="spellEnd"/>
      <w:r>
        <w:rPr>
          <w:i/>
          <w:iCs/>
          <w:color w:val="2E7D32"/>
          <w:sz w:val="19"/>
          <w:szCs w:val="19"/>
        </w:rPr>
        <w:t xml:space="preserve"> auf phi1 je Unternehmen × Kennzahl)</w:t>
      </w:r>
      <w:r>
        <w:br/>
      </w:r>
      <w:r>
        <w:rPr>
          <w:i/>
          <w:iCs/>
          <w:color w:val="2E7D32"/>
          <w:sz w:val="19"/>
          <w:szCs w:val="19"/>
        </w:rPr>
        <w:t>Zweck: Blockstruktur sichtbar machen: Profitabilitätsblock vs. Liquiditätsblock vs. Kapitalstruktur.</w:t>
      </w:r>
    </w:p>
    <w:p w14:paraId="02C39DF7" w14:textId="7B0F7381" w:rsidR="00186ADB" w:rsidRDefault="00186ADB" w:rsidP="00186ADB">
      <w:pPr>
        <w:pStyle w:val="berschrift3"/>
        <w:spacing w:before="280" w:after="120"/>
      </w:pPr>
      <w:bookmarkStart w:id="4" w:name="_Toc228035750"/>
      <w:proofErr w:type="gramStart"/>
      <w:r>
        <w:t>5.1.3  Die</w:t>
      </w:r>
      <w:proofErr w:type="gramEnd"/>
      <w:r>
        <w:t xml:space="preserve"> σ-Korrelationsmatrix</w:t>
      </w:r>
      <w:bookmarkEnd w:id="4"/>
    </w:p>
    <w:p w14:paraId="5453804E" w14:textId="005754BA" w:rsidR="00207FA9" w:rsidRDefault="0081032A" w:rsidP="00EF6069">
      <w:pPr>
        <w:tabs>
          <w:tab w:val="left" w:pos="0"/>
          <w:tab w:val="right" w:pos="9072"/>
        </w:tabs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436B6A63" wp14:editId="0719700C">
            <wp:extent cx="2727386" cy="2347079"/>
            <wp:effectExtent l="0" t="0" r="0" b="0"/>
            <wp:docPr id="89888715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87157" name="Grafik 8988871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734" cy="23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069">
        <w:rPr>
          <w:lang w:eastAsia="en-US"/>
        </w:rPr>
        <w:tab/>
      </w:r>
      <w:r w:rsidR="00EF6069">
        <w:rPr>
          <w:noProof/>
          <w:lang w:eastAsia="en-US"/>
          <w14:ligatures w14:val="standardContextual"/>
        </w:rPr>
        <w:drawing>
          <wp:inline distT="0" distB="0" distL="0" distR="0" wp14:anchorId="315A14E0" wp14:editId="2F2DB22F">
            <wp:extent cx="2860358" cy="2413000"/>
            <wp:effectExtent l="0" t="0" r="0" b="6350"/>
            <wp:docPr id="28003700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37008" name="Grafik 28003700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358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85E9E" w14:textId="77777777" w:rsidR="00207FA9" w:rsidRDefault="00207FA9" w:rsidP="00207FA9">
      <w:pPr>
        <w:rPr>
          <w:lang w:eastAsia="en-US"/>
        </w:rPr>
      </w:pPr>
    </w:p>
    <w:p w14:paraId="681494F8" w14:textId="6652F548" w:rsidR="00207FA9" w:rsidRDefault="00557D6B" w:rsidP="00207FA9">
      <w:pPr>
        <w:rPr>
          <w:lang w:eastAsia="en-US"/>
        </w:rPr>
      </w:pPr>
      <w:r>
        <w:rPr>
          <w:lang w:eastAsia="en-US"/>
        </w:rPr>
        <w:t xml:space="preserve">Vorgehen wie bei </w:t>
      </w:r>
      <w:proofErr w:type="spellStart"/>
      <w:r>
        <w:rPr>
          <w:lang w:eastAsia="en-US"/>
        </w:rPr>
        <w:t>phi</w:t>
      </w:r>
      <w:proofErr w:type="spellEnd"/>
      <w:r>
        <w:rPr>
          <w:lang w:eastAsia="en-US"/>
        </w:rPr>
        <w:t>!</w:t>
      </w:r>
    </w:p>
    <w:p w14:paraId="3E7C0A86" w14:textId="77777777" w:rsidR="00207FA9" w:rsidRPr="00207FA9" w:rsidRDefault="00207FA9" w:rsidP="00207FA9">
      <w:pPr>
        <w:rPr>
          <w:lang w:eastAsia="en-US"/>
        </w:rPr>
      </w:pPr>
    </w:p>
    <w:p w14:paraId="258FAEFA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proofErr w:type="spellStart"/>
      <w:r>
        <w:rPr>
          <w:i/>
          <w:iCs/>
          <w:color w:val="2E7D32"/>
        </w:rPr>
        <w:t>Heatmap</w:t>
      </w:r>
      <w:proofErr w:type="spellEnd"/>
      <w:r>
        <w:rPr>
          <w:i/>
          <w:iCs/>
          <w:color w:val="2E7D32"/>
        </w:rPr>
        <w:t xml:space="preserve"> Spearman-Korrelation der σ-Werte zwischen den 7 Kennzahlen (7×7)</w:t>
      </w:r>
      <w:r>
        <w:br/>
      </w:r>
      <w:r>
        <w:rPr>
          <w:i/>
          <w:iCs/>
          <w:color w:val="2E7D32"/>
          <w:sz w:val="19"/>
          <w:szCs w:val="19"/>
        </w:rPr>
        <w:t>Daten: ar_features.csv (</w:t>
      </w:r>
      <w:proofErr w:type="spellStart"/>
      <w:r>
        <w:rPr>
          <w:i/>
          <w:iCs/>
          <w:color w:val="2E7D32"/>
          <w:sz w:val="19"/>
          <w:szCs w:val="19"/>
        </w:rPr>
        <w:t>pivot</w:t>
      </w:r>
      <w:proofErr w:type="spellEnd"/>
      <w:r>
        <w:rPr>
          <w:i/>
          <w:iCs/>
          <w:color w:val="2E7D32"/>
          <w:sz w:val="19"/>
          <w:szCs w:val="19"/>
        </w:rPr>
        <w:t xml:space="preserve"> auf </w:t>
      </w:r>
      <w:proofErr w:type="spellStart"/>
      <w:r>
        <w:rPr>
          <w:i/>
          <w:iCs/>
          <w:color w:val="2E7D32"/>
          <w:sz w:val="19"/>
          <w:szCs w:val="19"/>
        </w:rPr>
        <w:t>sigma</w:t>
      </w:r>
      <w:proofErr w:type="spellEnd"/>
      <w:r>
        <w:rPr>
          <w:i/>
          <w:iCs/>
          <w:color w:val="2E7D32"/>
          <w:sz w:val="19"/>
          <w:szCs w:val="19"/>
        </w:rPr>
        <w:t xml:space="preserve"> je Unternehmen × Kennzahl)</w:t>
      </w:r>
      <w:r>
        <w:br/>
      </w:r>
      <w:r>
        <w:rPr>
          <w:i/>
          <w:iCs/>
          <w:color w:val="2E7D32"/>
          <w:sz w:val="19"/>
          <w:szCs w:val="19"/>
        </w:rPr>
        <w:t xml:space="preserve">Zweck: </w:t>
      </w:r>
      <w:proofErr w:type="spellStart"/>
      <w:r>
        <w:rPr>
          <w:i/>
          <w:iCs/>
          <w:color w:val="2E7D32"/>
          <w:sz w:val="19"/>
          <w:szCs w:val="19"/>
        </w:rPr>
        <w:t>Leverage</w:t>
      </w:r>
      <w:proofErr w:type="spellEnd"/>
      <w:r>
        <w:rPr>
          <w:i/>
          <w:iCs/>
          <w:color w:val="2E7D32"/>
          <w:sz w:val="19"/>
          <w:szCs w:val="19"/>
        </w:rPr>
        <w:t>-Bogen prüfen: ob Schockintensität anders koppelt als Persistenz.</w:t>
      </w:r>
    </w:p>
    <w:p w14:paraId="143860AD" w14:textId="24629698" w:rsidR="00186ADB" w:rsidRDefault="00186ADB" w:rsidP="00186ADB">
      <w:pPr>
        <w:pStyle w:val="berschrift3"/>
        <w:spacing w:before="280" w:after="120"/>
      </w:pPr>
      <w:bookmarkStart w:id="5" w:name="_Toc228035751"/>
      <w:proofErr w:type="gramStart"/>
      <w:r>
        <w:t>5.1.4  φ</w:t>
      </w:r>
      <w:proofErr w:type="gramEnd"/>
      <w:r>
        <w:t>₁ vs. σ</w:t>
      </w:r>
      <w:bookmarkEnd w:id="5"/>
    </w:p>
    <w:p w14:paraId="51E18BA3" w14:textId="7AD63DF7" w:rsidR="00186ADB" w:rsidRDefault="00186ADB" w:rsidP="00186ADB">
      <w:pPr>
        <w:spacing w:after="120"/>
      </w:pPr>
      <w:r>
        <w:t>Zwei verschiedene Informationsdimensionen</w:t>
      </w:r>
    </w:p>
    <w:p w14:paraId="54B6CE4C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ℹ️</w:t>
      </w:r>
      <w:r>
        <w:rPr>
          <w:b/>
          <w:bCs/>
          <w:i/>
          <w:iCs/>
          <w:color w:val="2E7D32"/>
        </w:rPr>
        <w:t xml:space="preserve"> Info fehlt — </w:t>
      </w:r>
      <w:r>
        <w:rPr>
          <w:i/>
          <w:iCs/>
          <w:color w:val="2E7D32"/>
        </w:rPr>
        <w:t>pro Kennzahl: Spearman-Korrelation zwischen φ₁ und σ desselben Unternehmens — in Tabellenform</w:t>
      </w:r>
      <w:r>
        <w:br/>
      </w:r>
      <w:r>
        <w:rPr>
          <w:i/>
          <w:iCs/>
          <w:color w:val="2E7D32"/>
          <w:sz w:val="19"/>
          <w:szCs w:val="19"/>
        </w:rPr>
        <w:t xml:space="preserve">Daten: ar_features.csv (pro Kennzahl: </w:t>
      </w:r>
      <w:proofErr w:type="spellStart"/>
      <w:proofErr w:type="gramStart"/>
      <w:r>
        <w:rPr>
          <w:i/>
          <w:iCs/>
          <w:color w:val="2E7D32"/>
          <w:sz w:val="19"/>
          <w:szCs w:val="19"/>
        </w:rPr>
        <w:t>corr</w:t>
      </w:r>
      <w:proofErr w:type="spellEnd"/>
      <w:r>
        <w:rPr>
          <w:i/>
          <w:iCs/>
          <w:color w:val="2E7D32"/>
          <w:sz w:val="19"/>
          <w:szCs w:val="19"/>
        </w:rPr>
        <w:t>(</w:t>
      </w:r>
      <w:proofErr w:type="gramEnd"/>
      <w:r>
        <w:rPr>
          <w:i/>
          <w:iCs/>
          <w:color w:val="2E7D32"/>
          <w:sz w:val="19"/>
          <w:szCs w:val="19"/>
        </w:rPr>
        <w:t xml:space="preserve">phi1, </w:t>
      </w:r>
      <w:proofErr w:type="spellStart"/>
      <w:r>
        <w:rPr>
          <w:i/>
          <w:iCs/>
          <w:color w:val="2E7D32"/>
          <w:sz w:val="19"/>
          <w:szCs w:val="19"/>
        </w:rPr>
        <w:t>sigma</w:t>
      </w:r>
      <w:proofErr w:type="spellEnd"/>
      <w:r>
        <w:rPr>
          <w:i/>
          <w:iCs/>
          <w:color w:val="2E7D32"/>
          <w:sz w:val="19"/>
          <w:szCs w:val="19"/>
        </w:rPr>
        <w:t>) über Unternehmen)</w:t>
      </w:r>
      <w:r>
        <w:br/>
      </w:r>
      <w:r>
        <w:rPr>
          <w:i/>
          <w:iCs/>
          <w:color w:val="2E7D32"/>
          <w:sz w:val="19"/>
          <w:szCs w:val="19"/>
        </w:rPr>
        <w:t xml:space="preserve">Zweck: zeigen, dass Persistenz und Schockgröße nicht redundant sind (sonst wäre die </w:t>
      </w:r>
      <w:proofErr w:type="spellStart"/>
      <w:r>
        <w:rPr>
          <w:i/>
          <w:iCs/>
          <w:color w:val="2E7D32"/>
          <w:sz w:val="19"/>
          <w:szCs w:val="19"/>
        </w:rPr>
        <w:t>Quadrantenklassifikation</w:t>
      </w:r>
      <w:proofErr w:type="spellEnd"/>
      <w:r>
        <w:rPr>
          <w:i/>
          <w:iCs/>
          <w:color w:val="2E7D32"/>
          <w:sz w:val="19"/>
          <w:szCs w:val="19"/>
        </w:rPr>
        <w:t xml:space="preserve"> sinnlos).</w:t>
      </w:r>
    </w:p>
    <w:p w14:paraId="04150A89" w14:textId="77777777" w:rsidR="00186ADB" w:rsidRDefault="00186ADB" w:rsidP="00186ADB">
      <w:pPr>
        <w:pStyle w:val="berschrift3"/>
        <w:spacing w:before="280" w:after="120"/>
      </w:pPr>
      <w:bookmarkStart w:id="6" w:name="_Toc228035752"/>
      <w:proofErr w:type="gramStart"/>
      <w:r>
        <w:lastRenderedPageBreak/>
        <w:t>5.1.5  Lead</w:t>
      </w:r>
      <w:proofErr w:type="gramEnd"/>
      <w:r>
        <w:t>-Lag-Analyse der Kennzahl-Innovationen</w:t>
      </w:r>
      <w:bookmarkEnd w:id="6"/>
    </w:p>
    <w:p w14:paraId="3641E3D7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4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Neu (E6.1): </w:t>
      </w:r>
      <w:r>
        <w:rPr>
          <w:i/>
          <w:iCs/>
          <w:color w:val="1F4E79"/>
        </w:rPr>
        <w:t xml:space="preserve">Prüft, ob ΔY-Schocks in einer Kennzahl die Schocks einer anderen um k Quartale vorauslaufen. Basis: Cross-Correlation-Funktion zwischen </w:t>
      </w:r>
      <w:proofErr w:type="spellStart"/>
      <w:r>
        <w:rPr>
          <w:i/>
          <w:iCs/>
          <w:color w:val="1F4E79"/>
        </w:rPr>
        <w:t>ΔKennzahl_i</w:t>
      </w:r>
      <w:proofErr w:type="spellEnd"/>
      <w:r>
        <w:rPr>
          <w:i/>
          <w:iCs/>
          <w:color w:val="1F4E79"/>
        </w:rPr>
        <w:t xml:space="preserve">(t) und </w:t>
      </w:r>
      <w:proofErr w:type="spellStart"/>
      <w:r>
        <w:rPr>
          <w:i/>
          <w:iCs/>
          <w:color w:val="1F4E79"/>
        </w:rPr>
        <w:t>ΔKennzahl_j</w:t>
      </w:r>
      <w:proofErr w:type="spellEnd"/>
      <w:r>
        <w:rPr>
          <w:i/>
          <w:iCs/>
          <w:color w:val="1F4E79"/>
        </w:rPr>
        <w:t>(</w:t>
      </w:r>
      <w:proofErr w:type="spellStart"/>
      <w:r>
        <w:rPr>
          <w:i/>
          <w:iCs/>
          <w:color w:val="1F4E79"/>
        </w:rPr>
        <w:t>t+k</w:t>
      </w:r>
      <w:proofErr w:type="spellEnd"/>
      <w:r>
        <w:rPr>
          <w:i/>
          <w:iCs/>
          <w:color w:val="1F4E79"/>
        </w:rPr>
        <w:t xml:space="preserve">) für k </w:t>
      </w:r>
      <w:r>
        <w:rPr>
          <w:rFonts w:ascii="Cambria Math" w:hAnsi="Cambria Math" w:cs="Cambria Math"/>
          <w:i/>
          <w:iCs/>
          <w:color w:val="1F4E79"/>
        </w:rPr>
        <w:t>∈</w:t>
      </w:r>
      <w:r>
        <w:rPr>
          <w:i/>
          <w:iCs/>
          <w:color w:val="1F4E79"/>
        </w:rPr>
        <w:t xml:space="preserve"> {-</w:t>
      </w:r>
      <w:proofErr w:type="gramStart"/>
      <w:r>
        <w:rPr>
          <w:i/>
          <w:iCs/>
          <w:color w:val="1F4E79"/>
        </w:rPr>
        <w:t>4,…</w:t>
      </w:r>
      <w:proofErr w:type="gramEnd"/>
      <w:r>
        <w:rPr>
          <w:i/>
          <w:iCs/>
          <w:color w:val="1F4E79"/>
        </w:rPr>
        <w:t>,+4}.</w:t>
      </w:r>
    </w:p>
    <w:p w14:paraId="18CE802E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200"/>
        <w:ind w:left="360"/>
      </w:pPr>
      <w:r>
        <w:rPr>
          <w:b/>
          <w:bCs/>
          <w:i/>
          <w:iCs/>
          <w:color w:val="1F4E79"/>
        </w:rPr>
        <w:t xml:space="preserve">Platzhalter: </w:t>
      </w:r>
      <w:r>
        <w:rPr>
          <w:i/>
          <w:iCs/>
          <w:color w:val="1F4E79"/>
        </w:rPr>
        <w:t>Inhalt folgt, sobald das Python-Skript cross_lag_features.py läuft.</w:t>
      </w:r>
    </w:p>
    <w:p w14:paraId="45182CB8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proofErr w:type="spellStart"/>
      <w:r>
        <w:rPr>
          <w:i/>
          <w:iCs/>
          <w:color w:val="2E7D32"/>
        </w:rPr>
        <w:t>Heatmap</w:t>
      </w:r>
      <w:proofErr w:type="spellEnd"/>
      <w:r>
        <w:rPr>
          <w:i/>
          <w:iCs/>
          <w:color w:val="2E7D32"/>
        </w:rPr>
        <w:t xml:space="preserve"> der signifikanten Lead-Lag-Zusammenhänge (optimaler </w:t>
      </w:r>
      <w:proofErr w:type="gramStart"/>
      <w:r>
        <w:rPr>
          <w:i/>
          <w:iCs/>
          <w:color w:val="2E7D32"/>
        </w:rPr>
        <w:t>Lag</w:t>
      </w:r>
      <w:proofErr w:type="gramEnd"/>
      <w:r>
        <w:rPr>
          <w:i/>
          <w:iCs/>
          <w:color w:val="2E7D32"/>
        </w:rPr>
        <w:t xml:space="preserve"> k* pro Kennzahlenpaar)</w:t>
      </w:r>
      <w:r>
        <w:br/>
      </w:r>
      <w:r>
        <w:rPr>
          <w:i/>
          <w:iCs/>
          <w:color w:val="2E7D32"/>
          <w:sz w:val="19"/>
          <w:szCs w:val="19"/>
        </w:rPr>
        <w:t>Daten: cross_lag_features.csv (</w:t>
      </w:r>
      <w:proofErr w:type="spellStart"/>
      <w:r>
        <w:rPr>
          <w:i/>
          <w:iCs/>
          <w:color w:val="2E7D32"/>
          <w:sz w:val="19"/>
          <w:szCs w:val="19"/>
        </w:rPr>
        <w:t>pair_i</w:t>
      </w:r>
      <w:proofErr w:type="spellEnd"/>
      <w:r>
        <w:rPr>
          <w:i/>
          <w:iCs/>
          <w:color w:val="2E7D32"/>
          <w:sz w:val="19"/>
          <w:szCs w:val="19"/>
        </w:rPr>
        <w:t xml:space="preserve">, </w:t>
      </w:r>
      <w:proofErr w:type="spellStart"/>
      <w:r>
        <w:rPr>
          <w:i/>
          <w:iCs/>
          <w:color w:val="2E7D32"/>
          <w:sz w:val="19"/>
          <w:szCs w:val="19"/>
        </w:rPr>
        <w:t>pair_j</w:t>
      </w:r>
      <w:proofErr w:type="spellEnd"/>
      <w:r>
        <w:rPr>
          <w:i/>
          <w:iCs/>
          <w:color w:val="2E7D32"/>
          <w:sz w:val="19"/>
          <w:szCs w:val="19"/>
        </w:rPr>
        <w:t xml:space="preserve">, </w:t>
      </w:r>
      <w:proofErr w:type="spellStart"/>
      <w:r>
        <w:rPr>
          <w:i/>
          <w:iCs/>
          <w:color w:val="2E7D32"/>
          <w:sz w:val="19"/>
          <w:szCs w:val="19"/>
        </w:rPr>
        <w:t>best_lag</w:t>
      </w:r>
      <w:proofErr w:type="spellEnd"/>
      <w:r>
        <w:rPr>
          <w:i/>
          <w:iCs/>
          <w:color w:val="2E7D32"/>
          <w:sz w:val="19"/>
          <w:szCs w:val="19"/>
        </w:rPr>
        <w:t xml:space="preserve">, </w:t>
      </w:r>
      <w:proofErr w:type="spellStart"/>
      <w:r>
        <w:rPr>
          <w:i/>
          <w:iCs/>
          <w:color w:val="2E7D32"/>
          <w:sz w:val="19"/>
          <w:szCs w:val="19"/>
        </w:rPr>
        <w:t>corr_at_best_lag</w:t>
      </w:r>
      <w:proofErr w:type="spellEnd"/>
      <w:r>
        <w:rPr>
          <w:i/>
          <w:iCs/>
          <w:color w:val="2E7D32"/>
          <w:sz w:val="19"/>
          <w:szCs w:val="19"/>
        </w:rPr>
        <w:t>, p)</w:t>
      </w:r>
      <w:r>
        <w:br/>
      </w:r>
      <w:r>
        <w:rPr>
          <w:i/>
          <w:iCs/>
          <w:color w:val="2E7D32"/>
          <w:sz w:val="19"/>
          <w:szCs w:val="19"/>
        </w:rPr>
        <w:t>Zweck: Hinweis auf temporale Vorläufer-Beziehungen zwischen Kennzahlen (z. B. ob Liquiditätsschocks Profitabilitätsschocks vorauslaufen).</w:t>
      </w:r>
    </w:p>
    <w:p w14:paraId="4B7857AC" w14:textId="77777777" w:rsidR="00186ADB" w:rsidRDefault="00186ADB" w:rsidP="00186ADB">
      <w:pPr>
        <w:pStyle w:val="berschrift2"/>
        <w:spacing w:before="280" w:after="120"/>
      </w:pPr>
      <w:bookmarkStart w:id="7" w:name="_Toc228035753"/>
      <w:proofErr w:type="gramStart"/>
      <w:r>
        <w:t>5.2  Zeitliche</w:t>
      </w:r>
      <w:proofErr w:type="gramEnd"/>
      <w:r>
        <w:t xml:space="preserve"> Manifestation: Event-Analyse</w:t>
      </w:r>
      <w:bookmarkEnd w:id="7"/>
    </w:p>
    <w:p w14:paraId="62C8509A" w14:textId="77777777" w:rsidR="00186ADB" w:rsidRDefault="00186ADB" w:rsidP="00186ADB">
      <w:pPr>
        <w:pStyle w:val="berschrift3"/>
        <w:spacing w:before="280" w:after="120"/>
      </w:pPr>
      <w:bookmarkStart w:id="8" w:name="_Toc228035754"/>
      <w:proofErr w:type="gramStart"/>
      <w:r>
        <w:t>5.2.1  Methodik</w:t>
      </w:r>
      <w:proofErr w:type="gramEnd"/>
      <w:r>
        <w:t xml:space="preserve"> Peak-</w:t>
      </w:r>
      <w:proofErr w:type="spellStart"/>
      <w:r>
        <w:t>Window</w:t>
      </w:r>
      <w:proofErr w:type="spellEnd"/>
      <w:r>
        <w:t>-Identifikation</w:t>
      </w:r>
      <w:bookmarkEnd w:id="8"/>
    </w:p>
    <w:p w14:paraId="39C90C19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Hinweis: </w:t>
      </w:r>
      <w:r>
        <w:rPr>
          <w:i/>
          <w:iCs/>
          <w:color w:val="1F4E79"/>
        </w:rPr>
        <w:t>Drei Events datengetrieben identifiziert: Dot-</w:t>
      </w:r>
      <w:proofErr w:type="spellStart"/>
      <w:r>
        <w:rPr>
          <w:i/>
          <w:iCs/>
          <w:color w:val="1F4E79"/>
        </w:rPr>
        <w:t>Com</w:t>
      </w:r>
      <w:proofErr w:type="spellEnd"/>
      <w:r>
        <w:rPr>
          <w:i/>
          <w:iCs/>
          <w:color w:val="1F4E79"/>
        </w:rPr>
        <w:t xml:space="preserve"> 2001Q4, GFC 2009Q2, COVID 2020Q3. Keine ex-ante Festlegung von Event-Fenstern → reduziert Data-</w:t>
      </w:r>
      <w:proofErr w:type="spellStart"/>
      <w:r>
        <w:rPr>
          <w:i/>
          <w:iCs/>
          <w:color w:val="1F4E79"/>
        </w:rPr>
        <w:t>Snooping</w:t>
      </w:r>
      <w:proofErr w:type="spellEnd"/>
      <w:r>
        <w:rPr>
          <w:i/>
          <w:iCs/>
          <w:color w:val="1F4E79"/>
        </w:rPr>
        <w:t>-Risiko.</w:t>
      </w:r>
    </w:p>
    <w:p w14:paraId="70E1E0FD" w14:textId="77777777" w:rsidR="00186ADB" w:rsidRDefault="00186ADB" w:rsidP="00186ADB">
      <w:pPr>
        <w:pStyle w:val="berschrift3"/>
        <w:spacing w:before="280" w:after="120"/>
      </w:pPr>
      <w:bookmarkStart w:id="9" w:name="_Toc228035755"/>
      <w:proofErr w:type="gramStart"/>
      <w:r>
        <w:t>5.2.2  Identifizierte</w:t>
      </w:r>
      <w:proofErr w:type="gramEnd"/>
      <w:r>
        <w:t xml:space="preserve"> Peak-Windows</w:t>
      </w:r>
      <w:bookmarkEnd w:id="9"/>
    </w:p>
    <w:p w14:paraId="248135CF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r>
        <w:rPr>
          <w:i/>
          <w:iCs/>
          <w:color w:val="2E7D32"/>
        </w:rPr>
        <w:t>Cross-</w:t>
      </w:r>
      <w:proofErr w:type="spellStart"/>
      <w:r>
        <w:rPr>
          <w:i/>
          <w:iCs/>
          <w:color w:val="2E7D32"/>
        </w:rPr>
        <w:t>sectional</w:t>
      </w:r>
      <w:proofErr w:type="spellEnd"/>
      <w:r>
        <w:rPr>
          <w:i/>
          <w:iCs/>
          <w:color w:val="2E7D32"/>
        </w:rPr>
        <w:t xml:space="preserve"> σ(</w:t>
      </w:r>
      <w:proofErr w:type="spellStart"/>
      <w:r>
        <w:rPr>
          <w:i/>
          <w:iCs/>
          <w:color w:val="2E7D32"/>
        </w:rPr>
        <w:t>ΔKennzahl</w:t>
      </w:r>
      <w:proofErr w:type="spellEnd"/>
      <w:r>
        <w:rPr>
          <w:i/>
          <w:iCs/>
          <w:color w:val="2E7D32"/>
        </w:rPr>
        <w:t>) über Zeit mit markierten Peak-Windows</w:t>
      </w:r>
      <w:r>
        <w:br/>
      </w:r>
      <w:r>
        <w:rPr>
          <w:i/>
          <w:iCs/>
          <w:color w:val="2E7D32"/>
          <w:sz w:val="19"/>
          <w:szCs w:val="19"/>
        </w:rPr>
        <w:t>Daten: event_peaks.csv (</w:t>
      </w:r>
      <w:proofErr w:type="spellStart"/>
      <w:r>
        <w:rPr>
          <w:i/>
          <w:iCs/>
          <w:color w:val="2E7D32"/>
          <w:sz w:val="19"/>
          <w:szCs w:val="19"/>
        </w:rPr>
        <w:t>quartal</w:t>
      </w:r>
      <w:proofErr w:type="spellEnd"/>
      <w:r>
        <w:rPr>
          <w:i/>
          <w:iCs/>
          <w:color w:val="2E7D32"/>
          <w:sz w:val="19"/>
          <w:szCs w:val="19"/>
        </w:rPr>
        <w:t xml:space="preserve">, </w:t>
      </w:r>
      <w:proofErr w:type="spellStart"/>
      <w:r>
        <w:rPr>
          <w:i/>
          <w:iCs/>
          <w:color w:val="2E7D32"/>
          <w:sz w:val="19"/>
          <w:szCs w:val="19"/>
        </w:rPr>
        <w:t>cross_sectional_std</w:t>
      </w:r>
      <w:proofErr w:type="spellEnd"/>
      <w:r>
        <w:rPr>
          <w:i/>
          <w:iCs/>
          <w:color w:val="2E7D32"/>
          <w:sz w:val="19"/>
          <w:szCs w:val="19"/>
        </w:rPr>
        <w:t xml:space="preserve">, </w:t>
      </w:r>
      <w:proofErr w:type="spellStart"/>
      <w:r>
        <w:rPr>
          <w:i/>
          <w:iCs/>
          <w:color w:val="2E7D32"/>
          <w:sz w:val="19"/>
          <w:szCs w:val="19"/>
        </w:rPr>
        <w:t>is_peak</w:t>
      </w:r>
      <w:proofErr w:type="spellEnd"/>
      <w:r>
        <w:rPr>
          <w:i/>
          <w:iCs/>
          <w:color w:val="2E7D32"/>
          <w:sz w:val="19"/>
          <w:szCs w:val="19"/>
        </w:rPr>
        <w:t>)</w:t>
      </w:r>
      <w:r>
        <w:br/>
      </w:r>
      <w:r>
        <w:rPr>
          <w:i/>
          <w:iCs/>
          <w:color w:val="2E7D32"/>
          <w:sz w:val="19"/>
          <w:szCs w:val="19"/>
        </w:rPr>
        <w:t>Zweck: Zeigen, wie die drei Events als globale σ-Spikes im Panel erscheinen.</w:t>
      </w:r>
    </w:p>
    <w:p w14:paraId="0BFA0F42" w14:textId="77777777" w:rsidR="00186ADB" w:rsidRDefault="00186ADB" w:rsidP="00186ADB">
      <w:pPr>
        <w:pStyle w:val="berschrift3"/>
        <w:spacing w:before="280" w:after="120"/>
      </w:pPr>
      <w:bookmarkStart w:id="10" w:name="_Toc228035756"/>
      <w:proofErr w:type="gramStart"/>
      <w:r>
        <w:t>5.2.3  Quadranten</w:t>
      </w:r>
      <w:proofErr w:type="gramEnd"/>
      <w:r>
        <w:t>-Reaktionen auf Events</w:t>
      </w:r>
      <w:bookmarkEnd w:id="10"/>
    </w:p>
    <w:p w14:paraId="13280E47" w14:textId="77777777" w:rsidR="00186ADB" w:rsidRDefault="00186ADB" w:rsidP="00186ADB">
      <w:pPr>
        <w:pBdr>
          <w:left w:val="single" w:sz="18" w:space="12" w:color="E67E22"/>
        </w:pBdr>
        <w:shd w:val="clear" w:color="auto" w:fill="FDF2E2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E67E22"/>
        </w:rPr>
        <w:t>🎯</w:t>
      </w:r>
      <w:r>
        <w:rPr>
          <w:b/>
          <w:bCs/>
          <w:i/>
          <w:iCs/>
          <w:color w:val="E67E22"/>
        </w:rPr>
        <w:t xml:space="preserve"> Fallbeispiel — </w:t>
      </w:r>
      <w:r>
        <w:rPr>
          <w:i/>
          <w:iCs/>
          <w:color w:val="B34700"/>
        </w:rPr>
        <w:t>COVID 2020Q3 — wie reagieren PERSISTENT-VOLATILE vs. KORREKTIV-STABILE Unternehmen? Konkret an 1–2 Unternehmen illustrieren (z. B. Airline × Versorger).</w:t>
      </w:r>
    </w:p>
    <w:p w14:paraId="02B86F39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r>
        <w:rPr>
          <w:i/>
          <w:iCs/>
          <w:color w:val="2E7D32"/>
        </w:rPr>
        <w:t xml:space="preserve">Boxplot </w:t>
      </w:r>
      <w:proofErr w:type="spellStart"/>
      <w:r>
        <w:rPr>
          <w:i/>
          <w:iCs/>
          <w:color w:val="2E7D32"/>
        </w:rPr>
        <w:t>ΔKennzahl</w:t>
      </w:r>
      <w:proofErr w:type="spellEnd"/>
      <w:r>
        <w:rPr>
          <w:i/>
          <w:iCs/>
          <w:color w:val="2E7D32"/>
        </w:rPr>
        <w:t xml:space="preserve"> je Quadrant × Event (3 Events × 4 Quadranten)</w:t>
      </w:r>
      <w:r>
        <w:br/>
      </w:r>
      <w:r>
        <w:rPr>
          <w:i/>
          <w:iCs/>
          <w:color w:val="2E7D32"/>
          <w:sz w:val="19"/>
          <w:szCs w:val="19"/>
        </w:rPr>
        <w:t>Daten: event_quadrant_reactions.csv</w:t>
      </w:r>
      <w:r>
        <w:br/>
      </w:r>
      <w:r>
        <w:rPr>
          <w:i/>
          <w:iCs/>
          <w:color w:val="2E7D32"/>
          <w:sz w:val="19"/>
          <w:szCs w:val="19"/>
        </w:rPr>
        <w:t xml:space="preserve">Zweck: Sichtbar machen, ob die </w:t>
      </w:r>
      <w:proofErr w:type="spellStart"/>
      <w:r>
        <w:rPr>
          <w:i/>
          <w:iCs/>
          <w:color w:val="2E7D32"/>
          <w:sz w:val="19"/>
          <w:szCs w:val="19"/>
        </w:rPr>
        <w:t>Quadrantenklassifikation</w:t>
      </w:r>
      <w:proofErr w:type="spellEnd"/>
      <w:r>
        <w:rPr>
          <w:i/>
          <w:iCs/>
          <w:color w:val="2E7D32"/>
          <w:sz w:val="19"/>
          <w:szCs w:val="19"/>
        </w:rPr>
        <w:t xml:space="preserve"> auch das Reaktionsverhalten in Krisen trennt.</w:t>
      </w:r>
    </w:p>
    <w:p w14:paraId="788F7E5F" w14:textId="77777777" w:rsidR="00186ADB" w:rsidRDefault="00186ADB" w:rsidP="00186ADB">
      <w:pPr>
        <w:pStyle w:val="berschrift3"/>
        <w:spacing w:before="280" w:after="120"/>
      </w:pPr>
      <w:bookmarkStart w:id="11" w:name="_Toc228035757"/>
      <w:proofErr w:type="gramStart"/>
      <w:r>
        <w:t>5.2.4  Cross</w:t>
      </w:r>
      <w:proofErr w:type="gramEnd"/>
      <w:r>
        <w:t>-Ratio-Reaktionsmuster</w:t>
      </w:r>
      <w:bookmarkEnd w:id="11"/>
    </w:p>
    <w:p w14:paraId="33F00A36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proofErr w:type="spellStart"/>
      <w:r>
        <w:rPr>
          <w:i/>
          <w:iCs/>
          <w:color w:val="2E7D32"/>
        </w:rPr>
        <w:t>Heatmap</w:t>
      </w:r>
      <w:proofErr w:type="spellEnd"/>
      <w:r>
        <w:rPr>
          <w:i/>
          <w:iCs/>
          <w:color w:val="2E7D32"/>
        </w:rPr>
        <w:t xml:space="preserve"> </w:t>
      </w:r>
      <w:proofErr w:type="spellStart"/>
      <w:r>
        <w:rPr>
          <w:i/>
          <w:iCs/>
          <w:color w:val="2E7D32"/>
        </w:rPr>
        <w:t>event</w:t>
      </w:r>
      <w:proofErr w:type="spellEnd"/>
      <w:r>
        <w:rPr>
          <w:i/>
          <w:iCs/>
          <w:color w:val="2E7D32"/>
        </w:rPr>
        <w:t xml:space="preserve"> × Kennzahl mit Median |</w:t>
      </w:r>
      <w:proofErr w:type="spellStart"/>
      <w:r>
        <w:rPr>
          <w:i/>
          <w:iCs/>
          <w:color w:val="2E7D32"/>
        </w:rPr>
        <w:t>ΔKennzahl</w:t>
      </w:r>
      <w:proofErr w:type="spellEnd"/>
      <w:r>
        <w:rPr>
          <w:i/>
          <w:iCs/>
          <w:color w:val="2E7D32"/>
        </w:rPr>
        <w:t>|</w:t>
      </w:r>
      <w:r>
        <w:br/>
      </w:r>
      <w:r>
        <w:rPr>
          <w:i/>
          <w:iCs/>
          <w:color w:val="2E7D32"/>
          <w:sz w:val="19"/>
          <w:szCs w:val="19"/>
        </w:rPr>
        <w:t>Daten: event_ratio_reactions.csv</w:t>
      </w:r>
      <w:r>
        <w:br/>
      </w:r>
      <w:r>
        <w:rPr>
          <w:i/>
          <w:iCs/>
          <w:color w:val="2E7D32"/>
          <w:sz w:val="19"/>
          <w:szCs w:val="19"/>
        </w:rPr>
        <w:t>Zweck: Zeigen, welche Kennzahlen in welchem Event am stärksten gestört wurden.</w:t>
      </w:r>
    </w:p>
    <w:p w14:paraId="1AC4823A" w14:textId="77777777" w:rsidR="00186ADB" w:rsidRDefault="00186ADB" w:rsidP="00186ADB">
      <w:pPr>
        <w:pStyle w:val="berschrift3"/>
        <w:spacing w:before="280" w:after="120"/>
      </w:pPr>
      <w:bookmarkStart w:id="12" w:name="_Toc228035758"/>
      <w:proofErr w:type="gramStart"/>
      <w:r>
        <w:t>5.2.5  Event</w:t>
      </w:r>
      <w:proofErr w:type="gramEnd"/>
      <w:r>
        <w:t>-Heterogenität nach Sektor</w:t>
      </w:r>
      <w:bookmarkEnd w:id="12"/>
    </w:p>
    <w:p w14:paraId="7FC49EEB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4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Neu (E6.2): </w:t>
      </w:r>
      <w:r>
        <w:rPr>
          <w:i/>
          <w:iCs/>
          <w:color w:val="1F4E79"/>
        </w:rPr>
        <w:t xml:space="preserve">Prüft, ob die Event-Signatur </w:t>
      </w:r>
      <w:proofErr w:type="spellStart"/>
      <w:r>
        <w:rPr>
          <w:i/>
          <w:iCs/>
          <w:color w:val="1F4E79"/>
        </w:rPr>
        <w:t>sektorabhängig</w:t>
      </w:r>
      <w:proofErr w:type="spellEnd"/>
      <w:r>
        <w:rPr>
          <w:i/>
          <w:iCs/>
          <w:color w:val="1F4E79"/>
        </w:rPr>
        <w:t xml:space="preserve"> ist (z. B. COVID-Schock stärker bei Consumer </w:t>
      </w:r>
      <w:proofErr w:type="spellStart"/>
      <w:r>
        <w:rPr>
          <w:i/>
          <w:iCs/>
          <w:color w:val="1F4E79"/>
        </w:rPr>
        <w:t>Discretionary</w:t>
      </w:r>
      <w:proofErr w:type="spellEnd"/>
      <w:r>
        <w:rPr>
          <w:i/>
          <w:iCs/>
          <w:color w:val="1F4E79"/>
        </w:rPr>
        <w:t xml:space="preserve"> als Utilities).</w:t>
      </w:r>
    </w:p>
    <w:p w14:paraId="351191E3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40"/>
        <w:ind w:left="360"/>
      </w:pPr>
      <w:r>
        <w:rPr>
          <w:b/>
          <w:bCs/>
          <w:i/>
          <w:iCs/>
          <w:color w:val="1F4E79"/>
        </w:rPr>
        <w:t xml:space="preserve">Methode: </w:t>
      </w:r>
      <w:r>
        <w:rPr>
          <w:i/>
          <w:iCs/>
          <w:color w:val="1F4E79"/>
        </w:rPr>
        <w:t>Kruskal-Wallis-H-Test auf |</w:t>
      </w:r>
      <w:proofErr w:type="spellStart"/>
      <w:r>
        <w:rPr>
          <w:i/>
          <w:iCs/>
          <w:color w:val="1F4E79"/>
        </w:rPr>
        <w:t>ΔKennzahl</w:t>
      </w:r>
      <w:proofErr w:type="spellEnd"/>
      <w:r>
        <w:rPr>
          <w:i/>
          <w:iCs/>
          <w:color w:val="1F4E79"/>
        </w:rPr>
        <w:t xml:space="preserve">| je Event × Sektor; </w:t>
      </w:r>
      <w:proofErr w:type="spellStart"/>
      <w:r>
        <w:rPr>
          <w:i/>
          <w:iCs/>
          <w:color w:val="1F4E79"/>
        </w:rPr>
        <w:t>Bonferroni</w:t>
      </w:r>
      <w:proofErr w:type="spellEnd"/>
      <w:r>
        <w:rPr>
          <w:i/>
          <w:iCs/>
          <w:color w:val="1F4E79"/>
        </w:rPr>
        <w:t>-Korrektur nötig.</w:t>
      </w:r>
    </w:p>
    <w:p w14:paraId="7E167652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200"/>
        <w:ind w:left="360"/>
      </w:pPr>
      <w:r>
        <w:rPr>
          <w:b/>
          <w:bCs/>
          <w:i/>
          <w:iCs/>
          <w:color w:val="1F4E79"/>
        </w:rPr>
        <w:t xml:space="preserve">Platzhalter: </w:t>
      </w:r>
      <w:r>
        <w:rPr>
          <w:i/>
          <w:iCs/>
          <w:color w:val="1F4E79"/>
        </w:rPr>
        <w:t>Inhalt folgt, sobald die Sektor-Aufschlüsselung im Python-Skript vorliegt.</w:t>
      </w:r>
    </w:p>
    <w:p w14:paraId="3EC62538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r>
        <w:rPr>
          <w:i/>
          <w:iCs/>
          <w:color w:val="2E7D32"/>
        </w:rPr>
        <w:t>Kleine Multiples: pro Event ein Panel, x-Achse = Sektor, y-Achse = Median |</w:t>
      </w:r>
      <w:proofErr w:type="spellStart"/>
      <w:r>
        <w:rPr>
          <w:i/>
          <w:iCs/>
          <w:color w:val="2E7D32"/>
        </w:rPr>
        <w:t>ΔKennzahl</w:t>
      </w:r>
      <w:proofErr w:type="spellEnd"/>
      <w:r>
        <w:rPr>
          <w:i/>
          <w:iCs/>
          <w:color w:val="2E7D32"/>
        </w:rPr>
        <w:t>|</w:t>
      </w:r>
      <w:r>
        <w:br/>
      </w:r>
      <w:r>
        <w:rPr>
          <w:i/>
          <w:iCs/>
          <w:color w:val="2E7D32"/>
          <w:sz w:val="19"/>
          <w:szCs w:val="19"/>
        </w:rPr>
        <w:t>Daten: event_sector_reactions.csv</w:t>
      </w:r>
      <w:r>
        <w:br/>
      </w:r>
      <w:r>
        <w:rPr>
          <w:i/>
          <w:iCs/>
          <w:color w:val="2E7D32"/>
          <w:sz w:val="19"/>
          <w:szCs w:val="19"/>
        </w:rPr>
        <w:t>Zweck: Dimension Sektor in die Event-Auswertung einführen (bisher nur Quadrant).</w:t>
      </w:r>
    </w:p>
    <w:p w14:paraId="528EB1BB" w14:textId="77777777" w:rsidR="00186ADB" w:rsidRDefault="00186ADB" w:rsidP="00186ADB">
      <w:pPr>
        <w:pStyle w:val="berschrift2"/>
        <w:spacing w:before="280" w:after="120"/>
      </w:pPr>
      <w:bookmarkStart w:id="13" w:name="_Toc228035759"/>
      <w:proofErr w:type="gramStart"/>
      <w:r>
        <w:lastRenderedPageBreak/>
        <w:t>5.3  Interpretation</w:t>
      </w:r>
      <w:bookmarkEnd w:id="13"/>
      <w:proofErr w:type="gramEnd"/>
    </w:p>
    <w:p w14:paraId="47452B59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Kapitelziel 5.3: </w:t>
      </w:r>
      <w:r>
        <w:rPr>
          <w:i/>
          <w:iCs/>
          <w:color w:val="1F4E79"/>
        </w:rPr>
        <w:t>aus den technischen Befunden (5.1 + 5.2) BWL-Aussagen machen. Folgt dem 5-Punkt-Workflow (Wert → Aussage → BWL-Assoziation → Zusammenhang → Erkenntnis).</w:t>
      </w:r>
    </w:p>
    <w:p w14:paraId="439CDC0F" w14:textId="081420E0" w:rsidR="00186ADB" w:rsidRDefault="00186ADB" w:rsidP="00186ADB">
      <w:pPr>
        <w:pStyle w:val="berschrift3"/>
        <w:spacing w:before="280" w:after="120"/>
      </w:pPr>
      <w:bookmarkStart w:id="14" w:name="_Toc228035760"/>
      <w:proofErr w:type="gramStart"/>
      <w:r>
        <w:t>5.3.1  Blockstruktur</w:t>
      </w:r>
      <w:proofErr w:type="gramEnd"/>
      <w:r>
        <w:t xml:space="preserve"> φ₁-Koppelung</w:t>
      </w:r>
      <w:bookmarkEnd w:id="14"/>
    </w:p>
    <w:p w14:paraId="73B30669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Platzhalter: </w:t>
      </w:r>
      <w:r>
        <w:rPr>
          <w:i/>
          <w:iCs/>
          <w:color w:val="1F4E79"/>
        </w:rPr>
        <w:t>Interpretation der φ₁-Korrelationscluster: warum Profitabilitätskennzahlen gemeinsam persistent reagieren (Nachfragezyklen) und Liquiditätskennzahlen anders (Working-Capital-Mechanik).</w:t>
      </w:r>
    </w:p>
    <w:p w14:paraId="3609D79E" w14:textId="69E0AF21" w:rsidR="00186ADB" w:rsidRDefault="00186ADB" w:rsidP="00186ADB">
      <w:pPr>
        <w:pStyle w:val="berschrift3"/>
        <w:spacing w:before="280" w:after="120"/>
      </w:pPr>
      <w:bookmarkStart w:id="15" w:name="_Toc228035761"/>
      <w:proofErr w:type="gramStart"/>
      <w:r>
        <w:t xml:space="preserve">5.3.2  </w:t>
      </w:r>
      <w:proofErr w:type="spellStart"/>
      <w:r>
        <w:t>Leverage</w:t>
      </w:r>
      <w:proofErr w:type="spellEnd"/>
      <w:proofErr w:type="gramEnd"/>
      <w:r>
        <w:t>-Bogen der σ-Matrix</w:t>
      </w:r>
      <w:bookmarkEnd w:id="15"/>
    </w:p>
    <w:p w14:paraId="32A18A69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Platzhalter: </w:t>
      </w:r>
      <w:r>
        <w:rPr>
          <w:i/>
          <w:iCs/>
          <w:color w:val="1F4E79"/>
        </w:rPr>
        <w:t xml:space="preserve">Deutung der Beobachtung, dass Schocks in Kapitalstruktur-Kennzahlen (EQR, DER) eine übergreifende Korrelation mit Schocks in allen anderen Blöcken aufweisen — Hinweis auf </w:t>
      </w:r>
      <w:proofErr w:type="spellStart"/>
      <w:r>
        <w:rPr>
          <w:i/>
          <w:iCs/>
          <w:color w:val="1F4E79"/>
        </w:rPr>
        <w:t>Leverage</w:t>
      </w:r>
      <w:proofErr w:type="spellEnd"/>
      <w:r>
        <w:rPr>
          <w:i/>
          <w:iCs/>
          <w:color w:val="1F4E79"/>
        </w:rPr>
        <w:t xml:space="preserve"> als systemischen Transmissionskanal.</w:t>
      </w:r>
    </w:p>
    <w:p w14:paraId="7A47B8F4" w14:textId="77777777" w:rsidR="00186ADB" w:rsidRDefault="00186ADB" w:rsidP="00186ADB">
      <w:pPr>
        <w:pStyle w:val="berschrift3"/>
        <w:spacing w:before="280" w:after="120"/>
      </w:pPr>
      <w:bookmarkStart w:id="16" w:name="_Toc228035762"/>
      <w:proofErr w:type="gramStart"/>
      <w:r>
        <w:t>5.3.3  Event</w:t>
      </w:r>
      <w:proofErr w:type="gramEnd"/>
      <w:r>
        <w:t xml:space="preserve">-Signatur und </w:t>
      </w:r>
      <w:proofErr w:type="spellStart"/>
      <w:r>
        <w:t>Quadrantenlogik</w:t>
      </w:r>
      <w:bookmarkEnd w:id="16"/>
      <w:proofErr w:type="spellEnd"/>
    </w:p>
    <w:p w14:paraId="2C8F6E8A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Platzhalter: </w:t>
      </w:r>
      <w:r>
        <w:rPr>
          <w:i/>
          <w:iCs/>
          <w:color w:val="1F4E79"/>
        </w:rPr>
        <w:t>Warum PERSISTENT-VOLATILE Unternehmen stärker auf Events reagieren als KORREKTIV-STABILE — Mean-Reversion-Mechanik und ihre ökonomische Grundlage.</w:t>
      </w:r>
    </w:p>
    <w:p w14:paraId="15906E64" w14:textId="77777777" w:rsidR="00186ADB" w:rsidRDefault="00186ADB" w:rsidP="00186ADB">
      <w:pPr>
        <w:pBdr>
          <w:left w:val="single" w:sz="18" w:space="12" w:color="E67E22"/>
        </w:pBdr>
        <w:shd w:val="clear" w:color="auto" w:fill="FDF2E2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E67E22"/>
        </w:rPr>
        <w:t>🎯</w:t>
      </w:r>
      <w:r>
        <w:rPr>
          <w:b/>
          <w:bCs/>
          <w:i/>
          <w:iCs/>
          <w:color w:val="E67E22"/>
        </w:rPr>
        <w:t xml:space="preserve"> Fallbeispiel — </w:t>
      </w:r>
      <w:r>
        <w:rPr>
          <w:i/>
          <w:iCs/>
          <w:color w:val="B34700"/>
        </w:rPr>
        <w:t>GFC 2009Q2 — ein prominenter Bankenfall (z. B. Citigroup) als KORREKTIV-VOLATIL vs. ein Industriewert (z. B. 3M) als PERSISTENT-STABIL.</w:t>
      </w:r>
    </w:p>
    <w:p w14:paraId="60E7A607" w14:textId="77777777" w:rsidR="00186ADB" w:rsidRDefault="00186ADB" w:rsidP="00186ADB">
      <w:pPr>
        <w:pStyle w:val="berschrift3"/>
        <w:spacing w:before="280" w:after="120"/>
      </w:pPr>
      <w:bookmarkStart w:id="17" w:name="_Toc228035763"/>
      <w:proofErr w:type="gramStart"/>
      <w:r>
        <w:t>5.3.4  Grenzen</w:t>
      </w:r>
      <w:proofErr w:type="gramEnd"/>
      <w:r>
        <w:t xml:space="preserve"> der ökonomischen Deutung</w:t>
      </w:r>
      <w:bookmarkEnd w:id="17"/>
    </w:p>
    <w:p w14:paraId="31D9411F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Platzhalter: </w:t>
      </w:r>
      <w:r>
        <w:rPr>
          <w:i/>
          <w:iCs/>
          <w:color w:val="1F4E79"/>
        </w:rPr>
        <w:t>Was die Daten NICHT zeigen: Kausalität zwischen Kennzahlen, Richtung der Transmission, Branchenspezifische Treiber — wichtig als Caveat vor der Hauptdiskussion in Kap. 7.</w:t>
      </w:r>
    </w:p>
    <w:p w14:paraId="76A40F49" w14:textId="77777777" w:rsidR="00186ADB" w:rsidRDefault="00186ADB" w:rsidP="00186ADB">
      <w:pPr>
        <w:pStyle w:val="berschrift2"/>
        <w:spacing w:before="280" w:after="120"/>
      </w:pPr>
      <w:bookmarkStart w:id="18" w:name="_Toc228035764"/>
      <w:proofErr w:type="gramStart"/>
      <w:r>
        <w:t>5.4  Erkenntnisse</w:t>
      </w:r>
      <w:proofErr w:type="gramEnd"/>
      <w:r>
        <w:t xml:space="preserve"> aus FF2</w:t>
      </w:r>
      <w:bookmarkEnd w:id="18"/>
    </w:p>
    <w:p w14:paraId="0EEB593C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Prof-Aussage: </w:t>
      </w:r>
      <w:r>
        <w:rPr>
          <w:i/>
          <w:iCs/>
          <w:color w:val="1F4E79"/>
        </w:rPr>
        <w:t xml:space="preserve">Erkenntnisse = Hauptbewertung (E15). 5.4 konsolidiert: Blockstruktur φ₁, </w:t>
      </w:r>
      <w:proofErr w:type="spellStart"/>
      <w:r>
        <w:rPr>
          <w:i/>
          <w:iCs/>
          <w:color w:val="1F4E79"/>
        </w:rPr>
        <w:t>Leverage</w:t>
      </w:r>
      <w:proofErr w:type="spellEnd"/>
      <w:r>
        <w:rPr>
          <w:i/>
          <w:iCs/>
          <w:color w:val="1F4E79"/>
        </w:rPr>
        <w:t>-Bogen σ, drei Events, Quadranten-Reaktionssignatur. Brücke zu FF3 (Kap. 6) herstellen — dort wird geprüft, ob diese Dynamikprofile extern erklärbar sind.</w:t>
      </w:r>
    </w:p>
    <w:p w14:paraId="75CB140E" w14:textId="77777777" w:rsidR="00186ADB" w:rsidRDefault="00186ADB" w:rsidP="00186ADB">
      <w:pPr>
        <w:pStyle w:val="berschrift2"/>
        <w:spacing w:before="280" w:after="120"/>
      </w:pPr>
      <w:bookmarkStart w:id="19" w:name="_Toc228035765"/>
      <w:proofErr w:type="gramStart"/>
      <w:r>
        <w:t>5.5  Robustheit</w:t>
      </w:r>
      <w:bookmarkEnd w:id="19"/>
      <w:proofErr w:type="gramEnd"/>
    </w:p>
    <w:p w14:paraId="0ACD654F" w14:textId="77777777" w:rsidR="00186ADB" w:rsidRDefault="00186ADB" w:rsidP="00186ADB">
      <w:pPr>
        <w:pStyle w:val="berschrift3"/>
        <w:spacing w:before="280" w:after="120"/>
      </w:pPr>
      <w:bookmarkStart w:id="20" w:name="_Toc228035766"/>
      <w:proofErr w:type="gramStart"/>
      <w:r>
        <w:t>5.5.1  Korrelationsstabilität</w:t>
      </w:r>
      <w:proofErr w:type="gramEnd"/>
      <w:r>
        <w:t xml:space="preserve"> über Teilperioden</w:t>
      </w:r>
      <w:bookmarkEnd w:id="20"/>
    </w:p>
    <w:p w14:paraId="04B443B9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4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Neu (E6.4): </w:t>
      </w:r>
      <w:r>
        <w:rPr>
          <w:i/>
          <w:iCs/>
          <w:color w:val="1F4E79"/>
        </w:rPr>
        <w:t>Prüft, ob φ₁- und σ-Korrelationsmatrix über Teilperioden (vor-GFC, GFC–COVID, post-COVID) stabil sind — oder ob die Blockstruktur sich mit der Zeit verändert.</w:t>
      </w:r>
    </w:p>
    <w:p w14:paraId="1296B048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after="200"/>
        <w:ind w:left="360"/>
      </w:pPr>
      <w:r>
        <w:rPr>
          <w:b/>
          <w:bCs/>
          <w:i/>
          <w:iCs/>
          <w:color w:val="1F4E79"/>
        </w:rPr>
        <w:t xml:space="preserve">Platzhalter: </w:t>
      </w:r>
      <w:r>
        <w:rPr>
          <w:i/>
          <w:iCs/>
          <w:color w:val="1F4E79"/>
        </w:rPr>
        <w:t>Inhalt folgt, sobald rollende Korrelations-Matrix berechnet ist.</w:t>
      </w:r>
    </w:p>
    <w:p w14:paraId="39F563BE" w14:textId="77777777" w:rsidR="00186ADB" w:rsidRDefault="00186ADB" w:rsidP="00186ADB">
      <w:pPr>
        <w:pBdr>
          <w:left w:val="single" w:sz="18" w:space="12" w:color="2E7D32"/>
        </w:pBdr>
        <w:shd w:val="clear" w:color="auto" w:fill="E8F5E9"/>
        <w:spacing w:before="80" w:after="160"/>
        <w:ind w:left="360"/>
      </w:pPr>
      <w:r>
        <w:rPr>
          <w:rFonts w:ascii="Apple Color Emoji" w:hAnsi="Apple Color Emoji" w:cs="Apple Color Emoji"/>
          <w:b/>
          <w:bCs/>
          <w:i/>
          <w:iCs/>
          <w:color w:val="2E7D32"/>
        </w:rPr>
        <w:t>📊</w:t>
      </w:r>
      <w:r>
        <w:rPr>
          <w:b/>
          <w:bCs/>
          <w:i/>
          <w:iCs/>
          <w:color w:val="2E7D32"/>
        </w:rPr>
        <w:t xml:space="preserve"> Grafik fehlt — </w:t>
      </w:r>
      <w:r>
        <w:rPr>
          <w:i/>
          <w:iCs/>
          <w:color w:val="2E7D32"/>
        </w:rPr>
        <w:t xml:space="preserve">Facettierte </w:t>
      </w:r>
      <w:proofErr w:type="spellStart"/>
      <w:r>
        <w:rPr>
          <w:i/>
          <w:iCs/>
          <w:color w:val="2E7D32"/>
        </w:rPr>
        <w:t>Heatmaps</w:t>
      </w:r>
      <w:proofErr w:type="spellEnd"/>
      <w:r>
        <w:rPr>
          <w:i/>
          <w:iCs/>
          <w:color w:val="2E7D32"/>
        </w:rPr>
        <w:t xml:space="preserve">: 3 Teilperioden × φ₁/σ-Matrix (gesamt 6 </w:t>
      </w:r>
      <w:proofErr w:type="spellStart"/>
      <w:r>
        <w:rPr>
          <w:i/>
          <w:iCs/>
          <w:color w:val="2E7D32"/>
        </w:rPr>
        <w:t>Heatmaps</w:t>
      </w:r>
      <w:proofErr w:type="spellEnd"/>
      <w:r>
        <w:rPr>
          <w:i/>
          <w:iCs/>
          <w:color w:val="2E7D32"/>
        </w:rPr>
        <w:t>)</w:t>
      </w:r>
      <w:r>
        <w:br/>
      </w:r>
      <w:r>
        <w:rPr>
          <w:i/>
          <w:iCs/>
          <w:color w:val="2E7D32"/>
          <w:sz w:val="19"/>
          <w:szCs w:val="19"/>
        </w:rPr>
        <w:t>Daten: ar_features_subperiods.csv</w:t>
      </w:r>
      <w:r>
        <w:br/>
      </w:r>
      <w:r>
        <w:rPr>
          <w:i/>
          <w:iCs/>
          <w:color w:val="2E7D32"/>
          <w:sz w:val="19"/>
          <w:szCs w:val="19"/>
        </w:rPr>
        <w:t>Zweck: Zeigen, ob die in 5.1 beobachtete Blockstruktur zeitstabil ist.</w:t>
      </w:r>
    </w:p>
    <w:p w14:paraId="16004299" w14:textId="77777777" w:rsidR="00186ADB" w:rsidRDefault="00186ADB" w:rsidP="00186ADB">
      <w:pPr>
        <w:pStyle w:val="berschrift3"/>
        <w:spacing w:before="280" w:after="120"/>
      </w:pPr>
      <w:bookmarkStart w:id="21" w:name="_Toc228035767"/>
      <w:proofErr w:type="gramStart"/>
      <w:r>
        <w:lastRenderedPageBreak/>
        <w:t>5.5.2  Alternative</w:t>
      </w:r>
      <w:proofErr w:type="gramEnd"/>
      <w:r>
        <w:t xml:space="preserve"> Event-Fenster-Definitionen</w:t>
      </w:r>
      <w:bookmarkEnd w:id="21"/>
    </w:p>
    <w:p w14:paraId="2307A181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Platzhalter: </w:t>
      </w:r>
      <w:r>
        <w:rPr>
          <w:i/>
          <w:iCs/>
          <w:color w:val="1F4E79"/>
        </w:rPr>
        <w:t xml:space="preserve">Check, ob die Peak-Windows auch bei ±1 Quartal Verschiebung stabil sind; ob die Reaktionsmuster </w:t>
      </w:r>
      <w:proofErr w:type="gramStart"/>
      <w:r>
        <w:rPr>
          <w:i/>
          <w:iCs/>
          <w:color w:val="1F4E79"/>
        </w:rPr>
        <w:t>gleich bleiben</w:t>
      </w:r>
      <w:proofErr w:type="gramEnd"/>
      <w:r>
        <w:rPr>
          <w:i/>
          <w:iCs/>
          <w:color w:val="1F4E79"/>
        </w:rPr>
        <w:t>.</w:t>
      </w:r>
    </w:p>
    <w:p w14:paraId="76CB94FF" w14:textId="77777777" w:rsidR="00186ADB" w:rsidRDefault="00186ADB" w:rsidP="00186ADB">
      <w:pPr>
        <w:pStyle w:val="berschrift3"/>
        <w:spacing w:before="280" w:after="120"/>
      </w:pPr>
      <w:bookmarkStart w:id="22" w:name="_Toc228035768"/>
      <w:proofErr w:type="gramStart"/>
      <w:r>
        <w:t>5.5.3  Sensitivität</w:t>
      </w:r>
      <w:proofErr w:type="gramEnd"/>
      <w:r>
        <w:t xml:space="preserve"> gegenüber </w:t>
      </w:r>
      <w:proofErr w:type="spellStart"/>
      <w:r>
        <w:t>Winsorisierung</w:t>
      </w:r>
      <w:bookmarkEnd w:id="22"/>
      <w:proofErr w:type="spellEnd"/>
    </w:p>
    <w:p w14:paraId="7B1FF13F" w14:textId="77777777" w:rsidR="00186ADB" w:rsidRDefault="00186ADB" w:rsidP="00186ADB">
      <w:pPr>
        <w:pBdr>
          <w:left w:val="single" w:sz="18" w:space="12" w:color="1F4E79"/>
        </w:pBdr>
        <w:shd w:val="clear" w:color="auto" w:fill="EAF1F8"/>
        <w:spacing w:before="80" w:after="200"/>
        <w:ind w:left="360"/>
      </w:pPr>
      <w:proofErr w:type="gramStart"/>
      <w:r>
        <w:rPr>
          <w:rFonts w:ascii="Apple Color Emoji" w:hAnsi="Apple Color Emoji" w:cs="Apple Color Emoji"/>
          <w:b/>
          <w:bCs/>
          <w:i/>
          <w:iCs/>
          <w:color w:val="1F4E79"/>
        </w:rPr>
        <w:t>📝</w:t>
      </w:r>
      <w:r>
        <w:rPr>
          <w:b/>
          <w:bCs/>
          <w:i/>
          <w:iCs/>
          <w:color w:val="1F4E79"/>
        </w:rPr>
        <w:t xml:space="preserve">  Notiz</w:t>
      </w:r>
      <w:proofErr w:type="gramEnd"/>
      <w:r>
        <w:rPr>
          <w:b/>
          <w:bCs/>
          <w:i/>
          <w:iCs/>
          <w:color w:val="1F4E79"/>
        </w:rPr>
        <w:t xml:space="preserve"> — Platzhalter: </w:t>
      </w:r>
      <w:r>
        <w:rPr>
          <w:i/>
          <w:iCs/>
          <w:color w:val="1F4E79"/>
        </w:rPr>
        <w:t xml:space="preserve">Prüft, ob die Korrelationsmuster (und damit die Blockstruktur) auch ohne </w:t>
      </w:r>
      <w:proofErr w:type="spellStart"/>
      <w:r>
        <w:rPr>
          <w:i/>
          <w:iCs/>
          <w:color w:val="1F4E79"/>
        </w:rPr>
        <w:t>Winsorisierung</w:t>
      </w:r>
      <w:proofErr w:type="spellEnd"/>
      <w:r>
        <w:rPr>
          <w:i/>
          <w:iCs/>
          <w:color w:val="1F4E79"/>
        </w:rPr>
        <w:t xml:space="preserve"> der Extremwerte bestehen.</w:t>
      </w:r>
    </w:p>
    <w:p w14:paraId="61D47228" w14:textId="77777777" w:rsidR="000F6B55" w:rsidRDefault="000F6B55"/>
    <w:sectPr w:rsidR="000F6B5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D7CF9" w14:textId="77777777" w:rsidR="008D7B79" w:rsidRDefault="008D7B79" w:rsidP="00186ADB">
      <w:r>
        <w:separator/>
      </w:r>
    </w:p>
  </w:endnote>
  <w:endnote w:type="continuationSeparator" w:id="0">
    <w:p w14:paraId="3A4CD874" w14:textId="77777777" w:rsidR="008D7B79" w:rsidRDefault="008D7B79" w:rsidP="00186A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AB941" w14:textId="77777777" w:rsidR="00186ADB" w:rsidRDefault="00186AD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0967" w14:textId="77777777" w:rsidR="00186ADB" w:rsidRDefault="00186AD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0B9D" w14:textId="77777777" w:rsidR="00186ADB" w:rsidRDefault="00186AD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71E5" w14:textId="77777777" w:rsidR="008D7B79" w:rsidRDefault="008D7B79" w:rsidP="00186ADB">
      <w:r>
        <w:separator/>
      </w:r>
    </w:p>
  </w:footnote>
  <w:footnote w:type="continuationSeparator" w:id="0">
    <w:p w14:paraId="449313EE" w14:textId="77777777" w:rsidR="008D7B79" w:rsidRDefault="008D7B79" w:rsidP="00186A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74F5" w14:textId="77777777" w:rsidR="00186ADB" w:rsidRDefault="00186AD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2A9B" w14:textId="77777777" w:rsidR="00186ADB" w:rsidRDefault="00186AD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5E616" w14:textId="77777777" w:rsidR="00186ADB" w:rsidRDefault="00186AD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5F"/>
    <w:rsid w:val="0002125F"/>
    <w:rsid w:val="00026453"/>
    <w:rsid w:val="000A3012"/>
    <w:rsid w:val="000C7D08"/>
    <w:rsid w:val="000F6B55"/>
    <w:rsid w:val="00186ADB"/>
    <w:rsid w:val="00196E24"/>
    <w:rsid w:val="001E5BCF"/>
    <w:rsid w:val="00207FA9"/>
    <w:rsid w:val="002747D6"/>
    <w:rsid w:val="00377E15"/>
    <w:rsid w:val="0049690C"/>
    <w:rsid w:val="00557D6B"/>
    <w:rsid w:val="00582A09"/>
    <w:rsid w:val="006979C0"/>
    <w:rsid w:val="007211AC"/>
    <w:rsid w:val="0081032A"/>
    <w:rsid w:val="00810B39"/>
    <w:rsid w:val="00813D99"/>
    <w:rsid w:val="008D7B79"/>
    <w:rsid w:val="009C2CE6"/>
    <w:rsid w:val="009C6AA5"/>
    <w:rsid w:val="00B52EFD"/>
    <w:rsid w:val="00BE532E"/>
    <w:rsid w:val="00C20C00"/>
    <w:rsid w:val="00CC0DF8"/>
    <w:rsid w:val="00CD284D"/>
    <w:rsid w:val="00D11FEE"/>
    <w:rsid w:val="00E01266"/>
    <w:rsid w:val="00E60CBF"/>
    <w:rsid w:val="00EF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B449"/>
  <w15:chartTrackingRefBased/>
  <w15:docId w15:val="{A3BAF36A-12EA-6D4B-802D-F78B46EC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6ADB"/>
    <w:rPr>
      <w:rFonts w:ascii="Calibri" w:eastAsia="Calibri" w:hAnsi="Calibri" w:cs="Calibri"/>
      <w:kern w:val="0"/>
      <w:sz w:val="22"/>
      <w:szCs w:val="22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2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2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212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12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12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12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12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12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12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12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12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12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12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12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12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1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02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12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125F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0212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125F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0212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12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125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86AD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86ADB"/>
    <w:rPr>
      <w:rFonts w:ascii="Calibri" w:eastAsia="Calibri" w:hAnsi="Calibri" w:cs="Calibri"/>
      <w:kern w:val="0"/>
      <w:sz w:val="22"/>
      <w:szCs w:val="22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186AD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86ADB"/>
    <w:rPr>
      <w:rFonts w:ascii="Calibri" w:eastAsia="Calibri" w:hAnsi="Calibri" w:cs="Calibri"/>
      <w:kern w:val="0"/>
      <w:sz w:val="22"/>
      <w:szCs w:val="2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0D7FFA-B35D-C548-A2CB-611162F1B2DE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c9de1b4-ee08-40db-8f5b-e8a44659557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1119</Words>
  <Characters>7055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Mourier</dc:creator>
  <cp:keywords/>
  <dc:description/>
  <cp:lastModifiedBy>Tobias Mourier</cp:lastModifiedBy>
  <cp:revision>2</cp:revision>
  <dcterms:created xsi:type="dcterms:W3CDTF">2026-05-13T18:46:00Z</dcterms:created>
  <dcterms:modified xsi:type="dcterms:W3CDTF">2026-05-13T18:46:00Z</dcterms:modified>
</cp:coreProperties>
</file>