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Zeitreihenbasierte Analyse der Dynamik</w:t>
        <w:br/>
        <w:t>von Finanzkennzahlen börsennotierter Unternehmen</w:t>
      </w:r>
    </w:p>
    <w:p>
      <w:pPr>
        <w:jc w:val="center"/>
      </w:pPr>
      <w:r>
        <w:rPr>
          <w:b/>
          <w:color w:val="1F3A68"/>
          <w:sz w:val="26"/>
        </w:rPr>
        <w:t>Kapitel 4 — Ergebnisse FF1: Systematische Dynamikmuster von Finanzkennzahlen</w:t>
      </w:r>
    </w:p>
    <w:p>
      <w:pPr>
        <w:jc w:val="center"/>
      </w:pPr>
      <w:r>
        <w:rPr>
          <w:color w:val="666666"/>
          <w:sz w:val="20"/>
        </w:rPr>
        <w:t>Tobias Mourier · TH Wildau · Stand 25. April 2026 · Entwurfsfassung</w:t>
      </w:r>
    </w:p>
    <w:p>
      <w:pPr>
        <w:pBdr>
          <w:bottom w:val="single" w:sz="6" w:space="1" w:color="888888"/>
        </w:pBdr>
      </w:pPr>
    </w:p>
    <w:p>
      <w:r>
        <w:rPr>
          <w:b/>
        </w:rPr>
        <w:t xml:space="preserve">Datenbasis: </w:t>
      </w:r>
      <w:r>
        <w:t xml:space="preserve">932 Unternehmen aus dem S&amp;P Composite 1500, Q1/2000 – Q4/2024, 100 Quartale je Unternehmen, sieben Finanzkennzahlen aus drei Schichten (Profitabilität, Liquidität, Kapitalstruktur). </w:t>
      </w:r>
      <w:r>
        <w:rPr>
          <w:b/>
        </w:rPr>
        <w:t xml:space="preserve">Modell: </w:t>
      </w:r>
      <w:r>
        <w:t xml:space="preserve">AR(1) auf ersten Differenzen ΔY(t) = c + φ₁ · ΔY(t−1) + ε(t), individuell für jedes Unternehmen × Kennzahl-Paar geschätzt. </w:t>
      </w:r>
      <w:r>
        <w:rPr>
          <w:b/>
        </w:rPr>
        <w:t xml:space="preserve">Datenquelle: </w:t>
      </w:r>
      <w:r>
        <w:t>EODHD Financial API.</w:t>
      </w:r>
    </w:p>
    <w:p>
      <w:pPr>
        <w:pBdr>
          <w:bottom w:val="single" w:sz="6" w:space="1" w:color="888888"/>
        </w:pBdr>
      </w:pPr>
    </w:p>
    <w:p>
      <w:pPr>
        <w:pStyle w:val="Heading1"/>
      </w:pPr>
      <w:r>
        <w:t>4 Ergebnisse FF1: Systematische Dynamikmuster von Finanzkennzahlen</w:t>
      </w:r>
    </w:p>
    <w:p>
      <w:r>
        <w:t>Die Forschungsfrage FF1 prüft, ob die sieben untersuchten Finanzkennzahlen systematische Dynamikmuster aufweisen, die über zufällige Schwankungen hinausgehen. Die Antwort ergibt sich aus einer Querschnittsanalyse von 6.521 individuell geschätzten AR(1)-Modellen über das Panel der 932 Unternehmen. Im Zentrum stehen zwei Parameter: der Autokorrelations­koeffizient φ₁ als Maß für die Mean-Reversion-Stärke der Veränderungen und die Standardabweichung σ(ΔY) als Maß für die quartalsweise Änderungsvolatilität. Beide Parameter spannen einen zweidimensionalen Dynamikraum auf, in dem jedes Unternehmen × Kennzahl-Paar einen Punkt einnimmt.</w:t>
      </w:r>
    </w:p>
    <w:p>
      <w:r>
        <w:t>Das Kapitel gliedert sich in fünf Schritte. Abschnitt 4.1 zeigt die zentralen Ergebnisse pro Kennzahl und ordnet sie in eine Drei-Schichten-Hierarchie. Abschnitt 4.2 zerlegt den Befund nach Branchen und macht sektorale Heterogenität sichtbar. Abschnitt 4.3 interpretiert beide Beobachtungen ökonomisch — das ist der inhaltliche Schwerpunkt des Kapitels, in dem die rein deskriptiven Befunde mit Marktstruktur, Entscheidungshorizonten und bilanzmechanischen Eigenschaften verbunden werden. Abschnitt 4.4 fasst die zentralen Erkenntnisse zusammen und leitet zur Forschungsfrage FF2 über. Abschnitt 4.5 dokumentiert die methodische Robustheit der Ergebnisse über verschiedene Modellvarianten, Stichprobengrößen und sub-period-Vergleiche.</w:t>
      </w:r>
    </w:p>
    <w:p>
      <w:pPr>
        <w:pStyle w:val="Heading2"/>
      </w:pPr>
      <w:r>
        <w:t>4.1 Analyse nach Kennzahl</w:t>
      </w:r>
    </w:p>
    <w:p>
      <w:r>
        <w:t>Den ersten analytischen Zugriff auf das Panel liefert die kennzahlenweise Aggregation: Für jede der sieben Finanzkennzahlen werden die individuellen φ₁- und σ(ΔY)-Schätzungen der 932 Unternehmen über die Querschnittsmedianverteilung verdichtet. Daraus ergibt sich eine Hierarchie der Mean-Reversion-Stärke, die sich in drei klar abgesetzte Schichten zerlegen lässt — Profitabilität, Liquidität, Kapitalstruktur. Diese Schichtung ist der zentrale strukturelle Befund von FF1 und der Ausgangspunkt aller weiteren Analyseebenen.</w:t>
      </w:r>
    </w:p>
    <w:p>
      <w:pPr>
        <w:pStyle w:val="Heading3"/>
      </w:pPr>
      <w:r>
        <w:t>4.1.1 Überblick der Drei-Schichten-Hierarchie</w:t>
      </w:r>
    </w:p>
    <w:p>
      <w:r>
        <w:t>Tabelle 4.1 stellt die zentralen Kenngrößen pro Kennzahl gegenüber. Negativere φ₁-Werte zeigen stärkere Mean-Reversion der Veränderungen an: Eine überdurchschnittliche Quartalsveränderung wird im Folgequartal anteilig zurückgenommen. Die Halblebensdauer t½ ergibt sich aus der Mean-Reversion-Geschwindigkeit über t½ = ln(0,5) / ln(1+φ₁) und gibt an, nach wie vielen Quartalen ein Schock in der Veränderung im Median zur Hälfte abgebaut ist. Die Signifikanzrate entspricht dem Anteil der Unternehmen, deren individueller AR(1)-Koeffizient bei p &lt; 0,05 signifikant von Null verschieden ist.</w:t>
      </w:r>
    </w:p>
    <w:p>
      <w:pPr>
        <w:pStyle w:val="Caption"/>
        <w:jc w:val="center"/>
      </w:pPr>
      <w:r>
        <w:rPr>
          <w:i/>
        </w:rPr>
        <w:t>Tab. 4.1: Drei-Schichten-Hierarchie der Mean-Reversion (φ₁-Median, σ-Median, Signifikanzrate, Halblebensdauer)</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68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n</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 Median</w:t>
            </w:r>
          </w:p>
        </w:tc>
        <w:tc>
          <w:tcPr>
            <w:tcW w:type="dxa" w:w="124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 Median</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Signifikanz</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t½ in Quartalen</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t½ in Jahren</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0,165</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96,6 %</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1,13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0,28</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0,017</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92,2 %</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1,23</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0,111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89,8 %</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1,23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0,048</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90,0 %</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1,24</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0,318</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45,6 %</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3,63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0,91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0,166</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32,4 %</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7,40</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1,85</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0,031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18,6 %</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17,07</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4,27</w:t>
            </w:r>
          </w:p>
        </w:tc>
      </w:tr>
    </w:tbl>
    <w:p>
      <w:pPr>
        <w:jc w:val="center"/>
      </w:pPr>
      <w:r>
        <w:rPr>
          <w:i/>
          <w:color w:val="777777"/>
          <w:sz w:val="18"/>
        </w:rPr>
        <w:t>Quelle: eigene Berechnungen, output/ar/ar_summary_by_ratio.csv</w:t>
      </w:r>
    </w:p>
    <w:p>
      <w:r>
        <w:rPr>
          <w:b/>
          <w:color w:val="B8541C"/>
          <w:sz w:val="20"/>
        </w:rPr>
        <w:t>VERTIEFUNG #1 — Literatur-Vergleich Dichev &amp; Tang (2009)</w:t>
      </w:r>
    </w:p>
    <w:p>
      <w:r>
        <w:rPr>
          <w:i/>
          <w:color w:val="B8541C"/>
          <w:sz w:val="20"/>
        </w:rPr>
        <w:t>Hier konkrete Vergleichszahlen einfügen: Dichev &amp; Tang (2009, Tab. 2) berichten Earnings-Persistenz auf Levels von etwa 0,62. Eigene ROA-φ₁ auf Differenzen = −0,43 — kein Widerspruch, sondern zwei Sichten desselben Phänomens. Konkrete Zahlen nebeneinander stellen, dann den methodischen Unterschied (Levels vs. Differenzen) erläutern. Dichev/Tang ist als Hauptbenchmark schon im Quellenkanon (MASTER_REFERENZ §3.1.1).</w:t>
      </w:r>
    </w:p>
    <w:p>
      <w:r>
        <w:t>Die Werte gruppieren sich in drei klar trennbare Schichten. Die ersten vier Kennzahlen — die Profitabilitätsdimension — liegen mit φ₁ zwischen −0,43 und −0,46 nahezu auf einer Höhe. Ihre Halblebensdauern liegen einheitlich bei 1,1 bis 1,3 Quartalen, also rund einem Drittel Jahr. Die Current Ratio bricht aus dieser Gruppe deutlich aus: Die Mean-Reversion ist mit φ₁ = −0,17 weniger als halb so stark, die Halblebensdauer wächst auf 3,6 Quartale (knapp ein Jahr). Die Kapitalstrukturschicht schließlich zeigt mit φ₁-Werten von −0,09 (Debt/Equity) und −0,04 (Eigenkapitalquote) nur noch ein schwaches AR-Signal; die Halblebensdauer der Eigenkapitalquote liegt bei über vier Jahren — auf der Quartalsfrequenz dieser Studie ist sie damit faktisch nicht zu beobachten.</w:t>
      </w:r>
    </w:p>
    <w:p>
      <w:r>
        <w:t>Auch die Signifikanzraten reproduzieren die Hierarchie: Während mehr als neun von zehn Unternehmen bei ROA, ROE, EBIT- und FCF-Marge einen signifikant von Null verschiedenen φ₁ aufweisen, sinkt diese Rate bei der Current Ratio auf 46 % und bei der Eigenkapitalquote auf weniger als jeden fünften Fall. Die Hierarchie ist also nicht nur eine Frage der Lage des Medians, sondern der Stärke des Effekts auf Einzelfirmen­ebene.</w:t>
      </w:r>
    </w:p>
    <w:p>
      <w:pPr>
        <w:jc w:val="center"/>
      </w:pPr>
      <w:r>
        <w:drawing>
          <wp:inline xmlns:a="http://schemas.openxmlformats.org/drawingml/2006/main" xmlns:pic="http://schemas.openxmlformats.org/drawingml/2006/picture">
            <wp:extent cx="5400000" cy="4032911"/>
            <wp:docPr id="1" name="Picture 1"/>
            <wp:cNvGraphicFramePr>
              <a:graphicFrameLocks noChangeAspect="1"/>
            </wp:cNvGraphicFramePr>
            <a:graphic>
              <a:graphicData uri="http://schemas.openxmlformats.org/drawingml/2006/picture">
                <pic:pic>
                  <pic:nvPicPr>
                    <pic:cNvPr id="0" name="abb_5_1_drei_schichten_boxplots.png"/>
                    <pic:cNvPicPr/>
                  </pic:nvPicPr>
                  <pic:blipFill>
                    <a:blip r:embed="rId9"/>
                    <a:stretch>
                      <a:fillRect/>
                    </a:stretch>
                  </pic:blipFill>
                  <pic:spPr>
                    <a:xfrm>
                      <a:off x="0" y="0"/>
                      <a:ext cx="5400000" cy="4032911"/>
                    </a:xfrm>
                    <a:prstGeom prst="rect"/>
                  </pic:spPr>
                </pic:pic>
              </a:graphicData>
            </a:graphic>
          </wp:inline>
        </w:drawing>
      </w:r>
    </w:p>
    <w:p>
      <w:pPr>
        <w:pStyle w:val="Caption"/>
        <w:jc w:val="center"/>
      </w:pPr>
      <w:r>
        <w:rPr>
          <w:i/>
        </w:rPr>
        <w:t>Abb. 4.1: Verteilung der φ₁-Werte pro Kennzahl (Boxplots, n = 932 Unternehmen je Kennzahl)</w:t>
      </w:r>
    </w:p>
    <w:p>
      <w:pPr>
        <w:jc w:val="center"/>
      </w:pPr>
      <w:r>
        <w:rPr>
          <w:i/>
          <w:color w:val="777777"/>
          <w:sz w:val="18"/>
        </w:rPr>
        <w:t>Quelle: eigene Darstellung</w:t>
      </w:r>
    </w:p>
    <w:p>
      <w:r>
        <w:t>Abbildung 4.1 stellt die unternehmensspezifischen φ₁-Verteilungen als Boxplots dar. Drei Eigenschaften verdienen Beachtung. Erstens überlappen sich die Profitabilitätsverteilungen stark: Sie haben nicht nur ähnliche Mediane, sondern auch ähnliche Interquartilsbereiche — die Profitabilitätskennzahlen verhalten sich auf Querschnittsebene wie eine kohärente Gruppe. Zweitens liegt die Current-Ratio-Verteilung vollständig oberhalb der Profitabilitätsboxen und unterhalb der Kapitalstrukturboxen — das macht ihre strukturelle Übergangsfunktion sichtbar. Drittens ist die EK-Quote-Verteilung um die Nulllinie zentriert; ein nennenswerter Anteil der Unternehmen weist sogar leicht positive φ₁-Werte auf, was Momentum statt Mean-Reversion entspricht.</w:t>
      </w:r>
    </w:p>
    <w:p>
      <w:pPr>
        <w:jc w:val="center"/>
      </w:pPr>
      <w:r>
        <w:drawing>
          <wp:inline xmlns:a="http://schemas.openxmlformats.org/drawingml/2006/main" xmlns:pic="http://schemas.openxmlformats.org/drawingml/2006/picture">
            <wp:extent cx="5400000" cy="2292911"/>
            <wp:docPr id="2" name="Picture 2"/>
            <wp:cNvGraphicFramePr>
              <a:graphicFrameLocks noChangeAspect="1"/>
            </wp:cNvGraphicFramePr>
            <a:graphic>
              <a:graphicData uri="http://schemas.openxmlformats.org/drawingml/2006/picture">
                <pic:pic>
                  <pic:nvPicPr>
                    <pic:cNvPr id="0" name="abb_5_2_signifikanz_r2.png"/>
                    <pic:cNvPicPr/>
                  </pic:nvPicPr>
                  <pic:blipFill>
                    <a:blip r:embed="rId10"/>
                    <a:stretch>
                      <a:fillRect/>
                    </a:stretch>
                  </pic:blipFill>
                  <pic:spPr>
                    <a:xfrm>
                      <a:off x="0" y="0"/>
                      <a:ext cx="5400000" cy="2292911"/>
                    </a:xfrm>
                    <a:prstGeom prst="rect"/>
                  </pic:spPr>
                </pic:pic>
              </a:graphicData>
            </a:graphic>
          </wp:inline>
        </w:drawing>
      </w:r>
    </w:p>
    <w:p>
      <w:pPr>
        <w:pStyle w:val="Caption"/>
        <w:jc w:val="center"/>
      </w:pPr>
      <w:r>
        <w:rPr>
          <w:i/>
        </w:rPr>
        <w:t>Abb. 4.2: Signifikanzrate (links) und R²-Verteilung (rechts) pro Kennzahl</w:t>
      </w:r>
    </w:p>
    <w:p>
      <w:pPr>
        <w:jc w:val="center"/>
      </w:pPr>
      <w:r>
        <w:rPr>
          <w:i/>
          <w:color w:val="777777"/>
          <w:sz w:val="18"/>
        </w:rPr>
        <w:t>Quelle: eigene Darstellung</w:t>
      </w:r>
    </w:p>
    <w:p>
      <w:r>
        <w:t>Abbildung 4.2 ergänzt das Bild um zwei Modellgüte-Indikatoren. Die Signifikanzraten (links) folgen exakt der Hierarchie der φ₁-Mediane. Die R²-Verteilung (rechts) zeigt, dass das AR(1)-Modell für die Profitabilitätskennzahlen median zwischen 18 % und 21 % der Quartalsvarianz erklärt — ein für univariate Zeitreihenmodelle solider Wert (Hamilton, 1994). Bei der Current Ratio fällt R² auf median 0,03, bei den Kapitalstrukturkennzahlen auf 0,01–0,02. Das AR(1)-Modell ist auf Bilanzstrukturveränderungen also nicht informativ; dieser Befund ist selbst aussagekräftig und wird in Abschnitt 4.3 ökonomisch eingeordnet.</w:t>
      </w:r>
    </w:p>
    <w:p>
      <w:pPr>
        <w:pStyle w:val="Heading3"/>
      </w:pPr>
      <w:r>
        <w:t>4.1.2 Profitabilitätsschicht</w:t>
      </w:r>
    </w:p>
    <w:p>
      <w:r>
        <w:t>Die vier Profitabilitätskennzahlen ROA, ROE, EBIT-Marge und FCF-Marge bilden die obere Schicht der Hierarchie mit konsistent starker Mean-Reversion. Sie unterscheiden sich primär in der Volatilitätsdimension und in der Rolle, die sie methodisch in der Erzählung übernehmen. Tabellen 4.2a–4.2d fassen die Verteilungs­kennzahlen pro Kennzahl zusammen.</w:t>
      </w:r>
    </w:p>
    <w:p>
      <w:pPr>
        <w:pStyle w:val="Caption"/>
        <w:jc w:val="center"/>
      </w:pPr>
      <w:r>
        <w:rPr>
          <w:i/>
        </w:rPr>
        <w:t>Tab. 4.2a: Modellparameter ROA (n = 931)</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−0,413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0,190</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0,187</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0,139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[−0,503; −0,333]</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[0,011; 0,025]</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[0,110; 0,256]</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[−0,610; −0,163]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[0,006; 0,043]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92,2 %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ROA fungiert als Leitkennzahl der Profitabilitätsschicht. Ihre Mean-Reversion ist nicht nur stark, sondern auch eng gestreut: Drei Viertel aller Unternehmen liegen mit φ₁ zwischen −0,50 und −0,33, und selbst am 5. Perzentil bleibt der Wert mit −0,61 deutlich negativ. Auch das obere Ende der Verteilung (−0,16 am 95. Perzentil) zeigt noch korrektive Dynamik. Die Konsistenz dieses Musters über die Querschnittsverteilung ist das, was den Befund hierarchisch macht: Es handelt sich nicht um einen Mittelwert-Effekt mit großen Abweichungen, sondern um eine fast universelle Eigenschaft der Kennzahl. Die Änderungsvolatilität ist mit σ = 0,017 (Median) gering — typische Quartalsschwankungen liegen bei ±1,7 Prozentpunkten.</w:t>
      </w:r>
    </w:p>
    <w:p>
      <w:pPr>
        <w:pStyle w:val="Caption"/>
        <w:jc w:val="center"/>
      </w:pPr>
      <w:r>
        <w:rPr>
          <w:i/>
        </w:rPr>
        <w:t>Tab. 4.2b: Modellparameter ROE (n = 931)</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−0,404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0,079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0,185</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0,182</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0,077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[−0,503; −0,312]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[0,027; 0,103]</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[0,097; 0,254]</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[−0,610; −0,121]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[0,013; 0,242]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90,0 %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ROE folgt strukturell ROA, weicht aber in der σ-Dimension klar ab: Die Änderungsvolatilität ist mit σ = 0,048 (Median) fast dreimal so hoch wie bei ROA. Der Grund ist der bilanzielle Hebel — ROE setzt den Gewinn ins Verhältnis zum Eigenkapital, das gegenüber der Bilanzsumme deutlich kleiner und volatiler ist. Diese Hebelwirkung ist algebraisch zwingend: ROE = ROA × (1 + D/E). Ein interessanter Folgeeffekt, der in Kapitel 5 (FF2) wieder aufgegriffen wird, ist die starke Volatilitätskopplung zwischen ROE und Debt/Equity (ρ_σ = 0,82) — ein mechanischer, kein ökonomischer Zusammenhang. Die breitere IQR von φ₁ ([−0,50; −0,31]) gegenüber ROA reflektiert ebenfalls den Hebel: Unternehmen mit hoher Verschuldung haben stärker variierende ROE-Dynamiken.</w:t>
      </w:r>
    </w:p>
    <w:p>
      <w:pPr>
        <w:pStyle w:val="Caption"/>
        <w:jc w:val="center"/>
      </w:pPr>
      <w:r>
        <w:rPr>
          <w:i/>
        </w:rPr>
        <w:t>Tab. 4.2c: Modellparameter EBIT-Marge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−0,401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0,176</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0,165</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0,155</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0,238</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[−0,506; −0,322]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[0,062; 0,202]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[0,090; 0,238]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[−0,615; −0,131]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[0,022; 0,609]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89,8 %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Die EBIT-Marge zeigt ein zu ROA und ROE strukturell ähnliches φ₁-Muster (Median −0,43), aber mit deutlich größerer Streuung in der Änderungsvolatilität: Die σ-Verteilung reicht vom 5. Perzentil mit 0,022 bis zum 95. Perzentil mit 0,609 — ein Faktor 28. Hinter dieser Spreizung stehen unterschiedliche operative Margenstrukturen: Konsumgüter des täglichen Bedarfs haben stabile Margen mit σ unter 0,06, während Energy- und Real-Estate-Unternehmen Margenschwankungen von über 0,25 zeigen. Konkret bedeutet φ₁ = −0,43 für die Interpretation: Wenn ein Unternehmen seine EBIT-Marge in einem Quartal um 10 Prozentpunkte verbessert hat, beträgt die erwartete Veränderung im Folgequartal −4,3 Prozentpunkte. Operative Margenverbesserungen sind im Median nicht kumulativ; sie enthalten temporäre Komponenten — Einmalerträge, Auftrags-Timing, saisonale Effekte — die sich im Folgequartal anteilig zurückbilden.</w:t>
      </w:r>
    </w:p>
    <w:p>
      <w:pPr>
        <w:pStyle w:val="Caption"/>
        <w:jc w:val="center"/>
      </w:pPr>
      <w:r>
        <w:rPr>
          <w:i/>
        </w:rPr>
        <w:t>Tab. 4.2d: Modellparameter FCF-Marge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0,212</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0,165</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0,210</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0,145</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0,273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[−0,548; −0,376]</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[0,094; 0,317]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[0,141; 0,277]</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[−0,668; −0,231]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[0,037; 0,872]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96,6 %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Die FCF-Marge ist unter den vier Profitabilitätskennzahlen die mit der stärksten Mean-Reversion (φ₁ = −0,46), der höchsten Signifikanzrate (96,6 %) und dem höchsten medianen R² (0,21). Drei von vier Unternehmen zeigen einen φ₁ stärker als −0,38, und am 95. Perzentil bleibt der Wert mit −0,23 deutlich negativ. Diese Sonderstellung hat eine ökonomische Erklärung: Free Cashflow wird durch Investitionszyklen, Working-Capital-Bewegungen und einmalige Mittelflüsse getrieben, die auf Quartalsebene eine starke negative Autokorrelation erzeugen — ein Quartal mit hohen Investitionen folgt typischerweise auf eines mit niedrigen, und umgekehrt. Anders als die buchhalterischen Margen ist FCF nicht durch Periodenabgrenzungen geglättet; Schocks erscheinen direkt im Cashflow und vergehen ebenso direkt. Eine Folgekonsequenz, die in Kapitel 5 ausgeführt wird, ist die schwache Korrelation der FCF-Mean-Reversion mit der von ROA, ROE und EBIT-Marge (ρ ≈ 0,15–0,20): FCF und buchhalterische Profitabilität bewegen sich in der Mean-Reversion-Stärke ähnlich, aber im Querschnitt weitgehend unabhängig voneinander (Dechow, 1994).</w:t>
      </w:r>
    </w:p>
    <w:p>
      <w:r>
        <w:rPr>
          <w:b/>
          <w:color w:val="B8541C"/>
          <w:sz w:val="20"/>
        </w:rPr>
        <w:t>VERTIEFUNG #2 — Sloan (1996) + eigene Beobachtung zur FCF-Signifikanz</w:t>
      </w:r>
    </w:p>
    <w:p>
      <w:r>
        <w:rPr>
          <w:i/>
          <w:color w:val="B8541C"/>
          <w:sz w:val="20"/>
        </w:rPr>
        <w:t>Zwei Ergänzungen wären stark: (a) Sloan (1996) zeigt, dass Cashflow-Komponenten von Earnings persistenter (auf Levels) sind als Accruals. Eigener Befund auf Differenzen ist scheinbar gegenläufig — die FCF-Marge zeigt die stärkste Mean-Reversion. Auflösung: Accruals dämpfen, Cash zeigt rohe Zyklen. Konkrete Sloan-Zahlen vs. eigene Werte gegenüberstellen. (b) Eigene Beobachtung wert eines eigenen Satzes: Die FCF-Marge schlägt alle anderen Profitabilitätskennzahlen nicht nur in Mean-Reversion-Stärke, sondern auch in der Signifikanzrate (96,6 % vs. 90 %) und im R² (0,21 vs. 0,18). Sie ist also nicht nur am stärksten korrigierend, sondern das konsistenteste Muster — passt zur Sloan-Logik der ungeglätteten Cash-Zyklik.</w:t>
      </w:r>
    </w:p>
    <w:p>
      <w:pPr>
        <w:pStyle w:val="Heading3"/>
      </w:pPr>
      <w:r>
        <w:t>4.1.3 Liquiditätsschicht</w:t>
      </w:r>
    </w:p>
    <w:p>
      <w:r>
        <w:t>Die Liquiditätsdimension ist in dieser Arbeit durch die Current Ratio repräsentiert. Sie nimmt strukturell eine Übergangsposition zwischen Profitabilitätsschicht und Kapitalstrukturschicht ein — ein Befund, der für die Interpretation der Drei-Schichten-Hierarchie in Abschnitt 4.3 wichtig wird.</w:t>
      </w:r>
    </w:p>
    <w:p>
      <w:pPr>
        <w:pStyle w:val="Caption"/>
        <w:jc w:val="center"/>
      </w:pPr>
      <w:r>
        <w:rPr>
          <w:i/>
        </w:rPr>
        <w:t>Tab. 4.2e: Modellparameter Current Ratio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−0,186</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0,600</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0,032</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0,884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[−0,287; −0,067]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[0,179; 0,572]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[0,011; 0,059]</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[−0,461; +0,063]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[0,084; 1,907]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45,6 %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Die Current Ratio zeigt eine markant schwächere Mean-Reversion als die Profitabilitätskennzahlen. Der mediane φ₁ liegt bei −0,17, weniger als die Hälfte der Profitabilitätsmediane. Nur 46 % der Unternehmen haben einen statistisch signifikanten AR-Effekt, und der R² des AR(1)-Modells fällt auf median 0,028 — das Modell hat hier praktisch keine Erklärungskraft. Auffällig ist die Verteilung der φ₁-Werte: Während das 5. Perzentil mit −0,46 noch eine substantielle Mean-Reversion zeigt, liegt das 95. Perzentil bei +0,06; in den oberen 5 % der Stichprobe gibt es also Unternehmen mit leichtem Veränderungs-Momentum statt Korrektur. Das ist konsistent mit der ökonomischen Natur der Kennzahl: Liquiditätsentscheidungen (Lageraufbau, Zahlungsziel-Verhandlungen, kurzfristige Kreditlinien) werden teilweise systematisch, teilweise diskretionär getroffen. Es gibt keinen klaren Marktmechanismus, der die Current Ratio in einen Zielwert zurückzieht.</w:t>
      </w:r>
    </w:p>
    <w:p>
      <w:r>
        <w:t>Die Änderungsvolatilität ist hingegen vergleichsweise hoch — Median σ = 0,32. Die Current Ratio bewegt sich quartalsweise stark, aber diese Bewegungen sind im Median nicht systematisch korrigierend. Die Spreizung der σ-Werte (Faktor 23 zwischen p5 und p95) ist die zweitgrößte aller Kennzahlen, was branchenspezifische Unterschiede signalisiert: Real-Estate-Unternehmen zeigen hier eine fundamental andere Dynamik als der Rest der Stichprobe — ein Befund, der in Abschnitt 4.2 detailliert wird.</w:t>
      </w:r>
    </w:p>
    <w:p>
      <w:r>
        <w:rPr>
          <w:b/>
          <w:color w:val="B8541C"/>
          <w:sz w:val="20"/>
        </w:rPr>
        <w:t>VERTIEFUNG #3 — Eljelly (2004) Liquiditäts-Profitabilitäts-Trade-off</w:t>
      </w:r>
    </w:p>
    <w:p>
      <w:r>
        <w:rPr>
          <w:i/>
          <w:color w:val="B8541C"/>
          <w:sz w:val="20"/>
        </w:rPr>
        <w:t>Eljelly (2004) ist in den Quellen verfügbar, aber bisher nicht zitiert. Bietet sich an: Er zeigt die sektorale Heterogenität von Liquiditätskennzahlen und den Trade-off zur Profitabilität. Eigener Befund quantifiziert genau diese Heterogenität über die AR(1)-Dynamik. Zusatzpunkt: Die Real-Estate-Anomalie (CR-φ₁ = −0,34) ließe sich über REIT-spezifische Bilanzliteratur vertiefen (z.B. Strebulaev/Whited-Survey zu Kapitalmarkt-Friktionen oder direkte REIT-Studien). 1–2 Sätze hier, ausführlich dann in 4.3.2.</w:t>
      </w:r>
    </w:p>
    <w:p>
      <w:pPr>
        <w:pStyle w:val="Heading3"/>
      </w:pPr>
      <w:r>
        <w:t>4.1.4 Kapitalstrukturschicht</w:t>
      </w:r>
    </w:p>
    <w:p>
      <w:r>
        <w:t>Debt/Equity und Eigenkapitalquote bilden die untere Schicht der Hierarchie. Beide Kennzahlen zeigen auf ersten Differenzen kein robustes Mean-Reversion-Signal — eine Eigenschaft, die im engen Sinne ein Null­befund ist, im weiten Sinne aber das aussagekräftigste Ergebnis der Schichtanalyse.</w:t>
      </w:r>
    </w:p>
    <w:p>
      <w:pPr>
        <w:pStyle w:val="Caption"/>
        <w:jc w:val="center"/>
      </w:pPr>
      <w:r>
        <w:rPr>
          <w:i/>
        </w:rPr>
        <w:t>Tab. 4.2f: Modellparameter Debt/Equity (n = 931)</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−0,112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0,744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0,021</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0,166</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0,192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1,989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[−0,219; +0,008]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[0,082; 0,377]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[0,005; 0,051]</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[−0,452; +0,170]</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[0,029; 3,941]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32,4 %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pStyle w:val="Caption"/>
        <w:jc w:val="center"/>
      </w:pPr>
      <w:r>
        <w:rPr>
          <w:i/>
        </w:rPr>
        <w:t>Tab. 4.2g: Modellparameter Eigenkapitalquote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−0,053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0,011</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0,031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[−0,148; +0,043]</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[0,022; 0,051]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[0,002; 0,026]</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[−0,330; +0,191]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[0,011; 0,089]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18,6 %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Bei beiden Kennzahlen liegt der mediane φ₁ nahe Null — Debt/Equity bei −0,09, Eigenkapitalquote bei −0,04. Das obere Quartil überschreitet in beiden Fällen die Nulllinie: Bei Debt/Equity hat ein Viertel der Unternehmen einen positiven φ₁ (also Veränderungs-Momentum), bei der Eigenkapitalquote sind es ebenfalls rund 25 %. Die Signifikanzraten von 32 % beziehungsweise 19 % bestätigen, dass das AR(1)-Modell auf Bilanzstrukturveränderungen nicht greift. Die ersten Differenzen verhalten sich nahe einem White-Noise-Prozess — was in der Veränderungsperspektive bedeutet, dass Bilanzstrukturschocks weder durch eine markt­getriebene Korrektur noch durch ein systematisches Folgemuster geprägt sind.</w:t>
      </w:r>
    </w:p>
    <w:p>
      <w:r>
        <w:t>Die ökonomische Erklärung dieses Nullbefunds wird in Abschnitt 4.3 ausgeführt. Wesentlich ist hier zunächst die methodische Konsequenz: Die Kapitalstrukturschicht zeigt auf Niveau-Ebene eine sehr hohe Persistenz — der mediane φ₁ in einer Levels-AR(1)-Spezifikation liegt für die Eigenkapitalquote bei 0,93 (Abschnitt 4.5.1). Das ist kein Widerspruch, sondern eine zweite Lesart desselben Phänomens: Bilanzstrukturen ändern sich selten und langsam; wenn sie sich aber ändern, ist die Änderung quasi-zufällig. Die in dieser Arbeit gewählte Veränderungsperspektive (erste Differenzen) bringt diese Eigenschaft direkt zum Ausdruck.</w:t>
      </w:r>
    </w:p>
    <w:p>
      <w:r>
        <w:rPr>
          <w:b/>
          <w:color w:val="B8541C"/>
          <w:sz w:val="20"/>
        </w:rPr>
        <w:t>VERTIEFUNG #4 — Strebulaev (2007) / Lemmon, Roberts &amp; Zender (2008) + EK-Momentum</w:t>
      </w:r>
    </w:p>
    <w:p>
      <w:r>
        <w:rPr>
          <w:i/>
          <w:color w:val="B8541C"/>
          <w:sz w:val="20"/>
        </w:rPr>
        <w:t>Hier wartet ein sehr starkes Argument: Strebulaev (2007) und Lemmon, Roberts &amp; Zender (2008) finden, dass Kapitalstrukturen erst auf 5–10-Jahres-Horizonten zur Zielstruktur zurückkehren — die eigene Halblebensdauer der EK-Quote (4,3 Jahre) bestätigt das exakt. Konkret: Lemmon et al. zeigen Persistenz-Halbwertszeiten von ~10 Jahren in den 1980ern bis ~6 Jahren in den 2000ern. Eigener Befund passt genau in dieses Spektrum. Quellen prüfen, ob in Literatur/ vorhanden. Zusatz-Beobachtung: Die EK-Quote-φ₁-Verteilung ist um Null zentriert mit positivem oberen Quartil — ein Viertel der Unternehmen zeigt Momentum, kein Mean-Reversion. Das ist eine eigenständige strukturelle Asymmetrie und ein Indiz für aktive Bilanzpolitik bei manchen Firmen (z.B. nach Kapitalerhöhungen oder Dividendenkürzungen, die sich über mehrere Quartale fortsetzen). Wert eines eigenen Absatzes.</w:t>
      </w:r>
    </w:p>
    <w:p>
      <w:pPr>
        <w:pStyle w:val="Heading2"/>
      </w:pPr>
      <w:r>
        <w:t>4.2 Analyse nach Branche</w:t>
      </w:r>
    </w:p>
    <w:p>
      <w:r>
        <w:t>Die kennzahlenweise Aggregation in Abschnitt 4.1 hat die Drei-Schichten-Hierarchie als robusten Querschnittsbefund etabliert. Sie sagt allerdings nichts darüber aus, ob diese Hierarchie über die verschiedenen Branchen gleich verläuft oder ob sektorspezifische Geschäftsmodelle die Mean-Reversion-Stärke modulieren. Dieser Abschnitt zerlegt die Ergebnisse nach den zehn GICS-Sektoren der Stichprobe (Financial Services wurden ausgeschlossen, vgl. Kap. 3 und 6.4) und macht damit die zweite, sektorale Heterogenitätsdimension der Daten sichtbar.</w:t>
      </w:r>
    </w:p>
    <w:p>
      <w:pPr>
        <w:pStyle w:val="Heading3"/>
      </w:pPr>
      <w:r>
        <w:t>4.2.1 Sektorale Übersicht der AR(1)-Kenngrößen</w:t>
      </w:r>
    </w:p>
    <w:p>
      <w:r>
        <w:t>Tabelle 4.3 zeigt die φ₁-Mediane pro Sektor und Kennzahl. Die Spalten sind in der Schichthierarchie geordnet (Profitabilität, Liquidität, Kapitalstruktur), die Zeilen nach absteigender Stichprobengröße des Sektors. Die Werte stehen für den medianen Mean-Reversion-Koeffizienten der Veränderungen über alle Unternehmen des jeweiligen Sektors.</w:t>
      </w:r>
    </w:p>
    <w:p>
      <w:pPr>
        <w:pStyle w:val="Caption"/>
        <w:jc w:val="center"/>
      </w:pPr>
      <w:r>
        <w:rPr>
          <w:i/>
        </w:rPr>
        <w:t>Tab. 4.3: Sektor × Kennzahl — φ₁-Median pro Sektor</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−0,469</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−0,076</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−0,034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−0,402</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−0,396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−0,025</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−0,400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−0,392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−0,453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−0,048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−0,051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−0,502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−0,144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−0,450</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−0,090</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−0,372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−0,382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−0,050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−0,005</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−0,078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−0,418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−0,230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−0,067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−0,487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−0,121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−0,026</w:t>
            </w:r>
          </w:p>
        </w:tc>
      </w:tr>
    </w:tbl>
    <w:p>
      <w:pPr>
        <w:jc w:val="center"/>
      </w:pPr>
      <w:r>
        <w:rPr>
          <w:i/>
          <w:color w:val="777777"/>
          <w:sz w:val="18"/>
        </w:rPr>
        <w:t>Quelle: eigene Berechnungen, output/ar/ar_features.csv mit Sektor-Merge aus output/profiles/company_quadrant_profiles.csv</w:t>
      </w:r>
    </w:p>
    <w:p>
      <w:r>
        <w:t>Drei Beobachtungen prägen das Bild. Erstens bleibt die Drei-Schichten-Hierarchie in jedem einzelnen Sektor bestehen — in keiner Zeile der Tabelle übersteigt der Liquiditätswert (CR) den Profitabilitätswert oder unterschreitet die Kapitalstrukturwerte (D/E, EK) den Liquiditätswert. Die Hierarchie ist damit kein Aggregationsartefakt, sondern eine sektorübergreifende strukturelle Eigenschaft der Kennzahlen.</w:t>
      </w:r>
    </w:p>
    <w:p>
      <w:r>
        <w:t>Zweitens gibt es eine deutliche Spreizung der φ₁-Werte innerhalb der Profitabilitätsschicht. Communication Services führt das Feld mit ROA-φ₁ = −0,49 und ROE-φ₁ = −0,49 an, gefolgt von Real Estate (−0,47 / −0,46) und Healthcare (−0,45 / −0,43). Am unteren Ende steht Basic Materials mit ROA-φ₁ = −0,37 — eine Differenz von 0,12 zur Spitze, die in der ökonomischen Interpretation von Abschnitt 4.3.2 als Geschäftsmodell-Effekt ausgedeutet wird. Technology liegt mit −0,40 ebenfalls unter dem Gesamtmedian, allerdings aus anderen strukturellen Gründen (M&amp;A-getriebene Margenentwicklung, vgl. ebenfalls 4.3.2).</w:t>
      </w:r>
    </w:p>
    <w:p>
      <w:r>
        <w:t>Drittens variiert die Liquiditäts- und Kapitalstrukturschicht zwischen den Sektoren stärker als die Profitabilitätsschicht. Die Current Ratio reicht von Real Estate (φ₁ = −0,34, doppelt so stark wie der Gesamtmedian) bis Technology (−0,10, deutlich schwächer als der Gesamtmedian). Bei Debt/Equity zeigt sich ein vergleichbares Bild: Utilities und Real Estate liegen beide bei −0,17 und damit fast doppelt so hoch wie der Gesamtmedian von −0,09. Die Eigenkapitalquote bleibt bei den meisten Sektoren nahe Null, mit Ausnahme von Utilities (−0,14) — der einzige Sektor mit substanzieller Mean-Reversion in der EK-Quote.</w:t>
      </w:r>
    </w:p>
    <w:p>
      <w:pPr>
        <w:jc w:val="center"/>
      </w:pPr>
      <w:r>
        <w:drawing>
          <wp:inline xmlns:a="http://schemas.openxmlformats.org/drawingml/2006/main" xmlns:pic="http://schemas.openxmlformats.org/drawingml/2006/picture">
            <wp:extent cx="5400000" cy="3753630"/>
            <wp:docPr id="3" name="Picture 3"/>
            <wp:cNvGraphicFramePr>
              <a:graphicFrameLocks noChangeAspect="1"/>
            </wp:cNvGraphicFramePr>
            <a:graphic>
              <a:graphicData uri="http://schemas.openxmlformats.org/drawingml/2006/picture">
                <pic:pic>
                  <pic:nvPicPr>
                    <pic:cNvPr id="0" name="abb_5_5_sektor_heatmap.png"/>
                    <pic:cNvPicPr/>
                  </pic:nvPicPr>
                  <pic:blipFill>
                    <a:blip r:embed="rId11"/>
                    <a:stretch>
                      <a:fillRect/>
                    </a:stretch>
                  </pic:blipFill>
                  <pic:spPr>
                    <a:xfrm>
                      <a:off x="0" y="0"/>
                      <a:ext cx="5400000" cy="3753630"/>
                    </a:xfrm>
                    <a:prstGeom prst="rect"/>
                  </pic:spPr>
                </pic:pic>
              </a:graphicData>
            </a:graphic>
          </wp:inline>
        </w:drawing>
      </w:r>
    </w:p>
    <w:p>
      <w:pPr>
        <w:pStyle w:val="Caption"/>
        <w:jc w:val="center"/>
      </w:pPr>
      <w:r>
        <w:rPr>
          <w:i/>
        </w:rPr>
        <w:t>Abb. 4.5: Heatmap der φ₁-Mediane pro Sektor × Kennzahl (zehn Sektoren × sieben Kennzahlen)</w:t>
      </w:r>
    </w:p>
    <w:p>
      <w:pPr>
        <w:jc w:val="center"/>
      </w:pPr>
      <w:r>
        <w:rPr>
          <w:i/>
          <w:color w:val="777777"/>
          <w:sz w:val="18"/>
        </w:rPr>
        <w:t>Quelle: eigene Darstellung</w:t>
      </w:r>
    </w:p>
    <w:p>
      <w:r>
        <w:t>Die Heatmap in Abbildung 4.5 visualisiert dieselben Werte und macht zwei Sektorgruppen unmittelbar sichtbar. Real Estate und Utilities heben sich durch deutlich stärkere Mean-Reversion in den nicht-profitabilen Schichten ab — bei Real Estate vor allem in der Liquidität (REITs mit hochsystematischen Refinanzierungs- und Ausschüttungszyklen), bei Utilities vor allem in der Kapitalstruktur (regulatorische Eigenkapitalanforderungen). Beide Sektoren zeigen damit eine Form der Mean-Reversion, die in der Hauptanalyse durch den Gesamtmedian abgemildert wird, aber sektorintern hochsignifikant ist. Technology und Basic Materials bilden den anderen Pol: schwächste Profitabilitäts-Mean-Reversion, schwächste Liquiditäts- und Kapitalstrukturkorrektur, im Falle von Technology zusätzlich die höchste σ unter den Profitabilitätskennzahlen — ein Profil, das mit hochinvestierten Wachstumsmodellen vereinbar ist.</w:t>
      </w:r>
    </w:p>
    <w:p>
      <w:pPr>
        <w:pStyle w:val="Heading3"/>
      </w:pPr>
      <w:r>
        <w:t>4.2.2 Quadrantenverteilung pro Sektor</w:t>
      </w:r>
    </w:p>
    <w:p>
      <w:r>
        <w:t>Die zweite sektorale Sicht entsteht durch die Klassifikation der Unternehmen in vier Dynamik-Quadranten. Für jedes Unternehmen wird über die sieben Kennzahlen hinweg ein dominanter Quadrant bestimmt — derjenige Quadrant, in den das Unternehmen am häufigsten fällt. Tabelle 4.4 zeigt die sektorspezifische Verteilung dieser dominanten Quadranten.</w:t>
      </w:r>
    </w:p>
    <w:p>
      <w:pPr>
        <w:pStyle w:val="Caption"/>
        <w:jc w:val="center"/>
      </w:pPr>
      <w:r>
        <w:rPr>
          <w:i/>
        </w:rPr>
        <w:t>Tab. 4.4: Sektor × dominanter Quadrant (Anteile in %)</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Korr.-Volatil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Pers.-Volatil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28,0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19,2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15,0</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17,3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14,2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22,8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27,6</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35,4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32,7</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7,1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33,8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7,4</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10,3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53,0</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16,2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48,6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10,8</w:t>
            </w:r>
          </w:p>
        </w:tc>
      </w:tr>
    </w:tbl>
    <w:p>
      <w:pPr>
        <w:jc w:val="center"/>
      </w:pPr>
      <w:r>
        <w:rPr>
          <w:i/>
          <w:color w:val="777777"/>
          <w:sz w:val="18"/>
        </w:rPr>
        <w:t>Quelle: eigene Berechnungen, output/profiles/company_quadrant_profiles.csv (dominanter Quadrant über sieben Kennzahlen)</w:t>
      </w:r>
    </w:p>
    <w:p>
      <w:r>
        <w:t>Die Verteilung erlaubt eine grobe Drei-Gruppen-Sortierung der Sektoren. Die Stabilen sind Utilities und Consumer Defensive: Beide haben über 60 % ihrer Unternehmen in den niedrigvolatilen Quadranten (Korrektiv-Stabil + Persistent-Stabil) und unter 8 % in Persistent-Volatil. Industrials zählt mit knapp 66 % stabilen Profilen ebenfalls dazu. Diese Sektoren sind durch regulatorische Rahmenbedingungen, Nachfragestabilität (Grundbedarf, Versorgung) oder Geschäftsmodell-Diversifikation geprägt, was sich in geringer Quartalsvolatilität und gleichzeitig moderater bis schwacher Korrektur niederschlägt.</w:t>
      </w:r>
    </w:p>
    <w:p>
      <w:r>
        <w:t>Die Korrektiv-Volatilen sind Real Estate (53 % Korrektiv-Volatil), Communication Services (49 %) und Energy (46 %). Diese Sektoren teilen ein charakteristisches Muster: hohe quartalsweise Schwankungen, die aber durch das Geschäftsmodell systematisch zurückkehren. Bei Real Estate sind die Mietverträge und regulierten Ausschüttungspflichten die strukturelle Klammer; bei Communication Services die hohe Fixkosten­basis (Netzwerke, Lizenzen, Content), die operative Schwankungen schnell glättet; bei Energy die Rohstoffpreis­zyklen, die starke aber kurzlebige Margenausschläge erzeugen.</w:t>
      </w:r>
    </w:p>
    <w:p>
      <w:r>
        <w:t>Die Persistent-Volatilen schließlich sind Technology (35 % Persistent-Volatil) und Basic Materials (31 %). Hier kombinieren sich hohe Volatilität mit schwacher systematischer Korrektur — das ist das Profil mit der geringsten quartalsweisen Vorhersagbarkeit. Bei Technology liegt die Erklärung in den M&amp;A-getriebenen Strukturveränderungen (Akquisitionen definieren ein neues Margenniveau, das nicht zum alten zurückkehrt); bei Basic Materials in mehrquartaligen Rohstoffpreis­trends (Kupfer-, Stahl-, Chemiezyklen), die operative Schocks über mehrere Quartale aufrechterhalten. Healthcare nimmt mit 33 % Persistent-Volatil eine Mittelposition zwischen den Korrektiv- und Persistent-Volatilen ein.</w:t>
      </w:r>
    </w:p>
    <w:p>
      <w:pPr>
        <w:jc w:val="center"/>
      </w:pPr>
      <w:r>
        <w:drawing>
          <wp:inline xmlns:a="http://schemas.openxmlformats.org/drawingml/2006/main" xmlns:pic="http://schemas.openxmlformats.org/drawingml/2006/picture">
            <wp:extent cx="5400000" cy="4311268"/>
            <wp:docPr id="4" name="Picture 4"/>
            <wp:cNvGraphicFramePr>
              <a:graphicFrameLocks noChangeAspect="1"/>
            </wp:cNvGraphicFramePr>
            <a:graphic>
              <a:graphicData uri="http://schemas.openxmlformats.org/drawingml/2006/picture">
                <pic:pic>
                  <pic:nvPicPr>
                    <pic:cNvPr id="0" name="abb_5_6_sektor_quadranten.png"/>
                    <pic:cNvPicPr/>
                  </pic:nvPicPr>
                  <pic:blipFill>
                    <a:blip r:embed="rId12"/>
                    <a:stretch>
                      <a:fillRect/>
                    </a:stretch>
                  </pic:blipFill>
                  <pic:spPr>
                    <a:xfrm>
                      <a:off x="0" y="0"/>
                      <a:ext cx="5400000" cy="4311268"/>
                    </a:xfrm>
                    <a:prstGeom prst="rect"/>
                  </pic:spPr>
                </pic:pic>
              </a:graphicData>
            </a:graphic>
          </wp:inline>
        </w:drawing>
      </w:r>
    </w:p>
    <w:p>
      <w:pPr>
        <w:pStyle w:val="Caption"/>
        <w:jc w:val="center"/>
      </w:pPr>
      <w:r>
        <w:rPr>
          <w:i/>
        </w:rPr>
        <w:t>Abb. 4.6: Quadrantenverteilung pro Sektor (gestapelte Säulen, dominanter Quadrant je Unternehmen)</w:t>
      </w:r>
    </w:p>
    <w:p>
      <w:pPr>
        <w:jc w:val="center"/>
      </w:pPr>
      <w:r>
        <w:rPr>
          <w:i/>
          <w:color w:val="777777"/>
          <w:sz w:val="18"/>
        </w:rPr>
        <w:t>Quelle: eigene Darstellung</w:t>
      </w:r>
    </w:p>
    <w:p>
      <w:r>
        <w:t>Abbildung 4.6 zeigt die Verteilung in gestapelter Darstellung. Sichtbar wird zusätzlich, dass die Sektoren mit dem höchsten Korrektiv-Stabil-Anteil — Utilities und Consumer Defensive — gleichzeitig den niedrigsten Persistent-Volatil-Anteil aufweisen, und umgekehrt. Die zwei Quadrantendimensionen verlaufen in der sektoralen Aggregation also weitgehend antiparallel; ein Hinweis darauf, dass die durch die Mean-Reversion-Dimension eingefangene strukturelle Eigenschaft (φ₁) und die durch die Volatilitäts­dimension eingefangene Eigenschaft (σ) beide vom Geschäftsmodell mitgesteuert werden, ohne sich mechanisch zu überlagern. Die empirische Trennbarkeit der beiden Dimensionen wird in Abschnitt 4.5.3 formal überprüft.</w:t>
      </w:r>
    </w:p>
    <w:p>
      <w:pPr>
        <w:pStyle w:val="Heading2"/>
      </w:pPr>
      <w:r>
        <w:t>4.3 Interpretation der Ergebnisse</w:t>
      </w:r>
    </w:p>
    <w:p>
      <w:r>
        <w:t>Die Abschnitte 4.1 und 4.2 haben zwei Befunde etabliert: eine kennzahlenspezifische Drei-Schichten-Hierarchie der Mean-Reversion und eine sektorale Heterogenität, die innerhalb dieser Hierarchie operiert, ohne sie aufzulösen. Beide Beobachtungen sind zunächst rein deskriptiv. Dieser Abschnitt ordnet sie ökonomisch ein und prüft, welche Erklärung die Hierarchie und ihre sektorale Variation am besten trägt. Die Interpretation folgt einer übergeordneten Argumentationslinie: Die Drei-Schichten-Hierarchie ist nicht eine Eigenschaft der Kennzahlen, sondern reflektiert, welcher Mechanismus ihre Veränderungen treibt. Diese Lesart wird durch zwei voneinander unabhängige Verstärker-Achsen — eine zeitliche und eine bilanzmechanische — quantitativ und strukturell untermauert.</w:t>
      </w:r>
    </w:p>
    <w:p>
      <w:pPr>
        <w:pStyle w:val="Heading3"/>
      </w:pPr>
      <w:r>
        <w:t>4.3.1 Interpretation der Schichthierarchie</w:t>
      </w:r>
    </w:p>
    <w:p>
      <w:r>
        <w:rPr>
          <w:b/>
        </w:rPr>
        <w:t>Hauptachse: Marktgetriebene versus managementgetriebene Veränderungen.</w:t>
      </w:r>
    </w:p>
    <w:p>
      <w:r>
        <w:t>Die zentrale ökonomische Erklärung der Drei-Schichten-Hierarchie liegt nicht in einer Eigenschaft der Kennzahlen selbst, sondern im Mechanismus, der ihre Veränderungen treibt. Profitabilitätskennzahlen — ROA, ROE, EBIT-Marge und FCF-Marge — sind Output-Größen marktwirtschaftlicher Konkurrenz. Wenn ein Unternehmen in einem Quartal überdurchschnittlich hohe Margen erzielt, treten typischerweise zwei Mechanismen in Kraft: Wettbewerber reagieren mit Preisanpassungen oder Markteintritten, und das Unternehmen selbst verliert in Folgequartalen einen Teil des Vorsprungs durch konvergierende Marktbedingungen. Diese Konvergenzdynamik ist seit Stigler (1963) ein Kernbefund der Wettbewerbsökonomie und durch Fama und French (2000) für Profitabilitätskennzahlen empirisch belegt. Operative Margenüberschüsse sind in einer wettbewerblichen Volkswirtschaft nicht stabil — sie ziehen Korrekturkräfte auf sich. Das ist der ökonomische Kern der starken Mean-Reversion in der oberen Schicht.</w:t>
      </w:r>
    </w:p>
    <w:p>
      <w:r>
        <w:t>Kapitalstrukturkennzahlen folgen einer fundamental anderen Logik. Die Eigenkapitalquote oder das Verhältnis von Fremd- zu Eigenkapital sind Input-Größen unternehmerischer Entscheidung. Sie ändern sich nur, wenn das Management aktiv eine Bilanzmaßnahme ergreift — eine Anleihe emittiert, eine Kapitalerhöhung durchführt, einen Aktienrückkauf beschließt oder eine Dividende anpasst. Es gibt keinen Marktmechanismus, der die Kapitalstruktur eines Unternehmens autonom korrigiert. Die Pecking-Order- und Trade-off-Theorien der Kapitalstruktur (Myers, 1984; Modigliani &amp; Miller, 1958) beschreiben, dass Unternehmen langfristige Zielstrukturen verfolgen, aber mit erheblicher Trägheit anpassen. Auf der Quartalsfrequenz dieser Studie bedeutet das: Veränderungen in der Kapitalstruktur sind diskrete Ereignisse, deren Folge keine systematische Korrekturdynamik nach sich zieht. Das mediane φ₁ von −0,04 (Eigenkapitalquote) und −0,09 (Debt/Equity) ist damit kein methodisches Versagen des AR(1)-Modells, sondern eine wahrheitsgetreue Abbildung der Tatsache, dass Bilanzstrukturveränderungen quartalsweise quasi-zufällig sind.</w:t>
      </w:r>
    </w:p>
    <w:p>
      <w:r>
        <w:t>Die Liquiditätsdimension nimmt zwischen diesen beiden Polen eine hybride Position ein. Working Capital wird einerseits operativ getrieben (Lagerbestände, Forderungslaufzeiten, kurzfristige Verbindlichkeiten ergeben sich aus Geschäftsvolumen und Zahlungszielen), andererseits aktiv gesteuert (Treasury-Entscheidungen, Kreditlinien-Nutzung, Working-Capital-Management). Die Current Ratio steht damit strukturell zwischen Markt und Management. Dass ihr medianes φ₁ mit −0,17 zwischen den Profitabilitäts- und den Kapitalstrukturwerten liegt, ist konsistent mit dieser hybriden Mechanismus-Zuordnung. Sie ist nicht Ausdruck einer methodischen Übergangszone, sondern einer ökonomischen.</w:t>
      </w:r>
    </w:p>
    <w:p>
      <w:r>
        <w:t>Diese Lesart der Drei-Schichten-Hierarchie steht nicht im Widerspruch zur klassischen Earnings-Persistence-Literatur (Sloan, 1996; Dichev &amp; Tang, 2009). Im Gegenteil: Sloans und Dichevs Befunde zur Niveaupersistenz operativer Kennzahlen erklären, warum Profitabilität auf Levels hochpersistent erscheint (in der Levels-Spezifikation dieser Arbeit liegt der mediane φ₁ für ROA bei 0,32). Aber genau diese Niveaupersistenz wird auf der Veränderungsebene durch wettbewerbliche Konvergenz korrigiert — Niveaus und Veränderungen folgen unterschiedlichen Mechanismen, was Fairfield und Yohn (2001) als zentrale Lesart der Differenzierung beider Perspektiven herausgearbeitet haben. In der Veränderungsperspektive der vorliegenden Arbeit zeigt sich die Asymmetrie zwischen Output-Größen (mit Marktkorrektur) und Input-Größen (ohne Marktkorrektur) am deutlichsten, weil die Niveau-Persistenz herausdifferenziert wird.</w:t>
      </w:r>
    </w:p>
    <w:p>
      <w:r>
        <w:rPr>
          <w:b/>
        </w:rPr>
        <w:t>Verstärker 1: Die Zeitkonstante der Veränderung.</w:t>
      </w:r>
    </w:p>
    <w:p>
      <w:r>
        <w:t>Die Markt-Management-Achse beantwortet die Frage, warum eine Hierarchie überhaupt existiert. Sie sagt aber nichts darüber aus, warum die Hierarchie genau diese Skalierung hat. Eine quantitative Untermauerung liefert die Halblebensdauer der Veränderung — die Anzahl der Quartale, nach denen ein Schock im Median zur Hälfte abgebaut ist (vgl. Tabelle 4.1, Spalten t½ in Quartalen / in Jahren).</w:t>
      </w:r>
    </w:p>
    <w:p>
      <w:r>
        <w:t>Die Werte ordnen sich nahezu geometrisch: Profitabilitätsschocks halbieren sich nach 1,1 bis 1,3 Quartalen, Liquiditätsschocks nach 3,6 Quartalen, Schocks in der Verschuldungsstruktur nach 7,4 Quartalen, und Schocks in der Eigenkapitalquote erst nach über 17 Quartalen — also über vier Jahren. Diese Spreizung um den Faktor 15 zwischen oberer und unterer Schicht ist nicht zufällig: Sie entspricht den typischen Entscheidungshorizonten, auf denen über die jeweiligen Kennzahlen disponiert wird. Profitabilität bewegt sich auf der Frequenz operativer Geschäftstätigkeit (Aufträge, Auslastung, Margenmanagement) — Quartalsskala. Working Capital folgt dem Bestandsumschlag und der Zahlungslogik von Forderungen und Verbindlichkeiten — drei bis vier Quartale. Die Kapitalstruktur folgt der Logik strategischer Bilanzpolitik (Refinanzierungszyklen, Investorenkommunikation, Steuer- und Regulierungsfenster) — Jahre bis Jahrzehnte.</w:t>
      </w:r>
    </w:p>
    <w:p>
      <w:r>
        <w:t>Daraus ergibt sich eine zweite, unabhängige Lesart der Hierarchie: Die Mean-Reversion-Stärke einer Kennzahl ist nicht nur ein Maß ihrer Korrekturdynamik, sondern eine messbare Skala für den Entscheidungshorizont, auf dem über sie disponiert wird. Eine Kennzahl, deren Halblebensdauer 17 Quartale beträgt, kann nicht durch quartalsweise Marktmechanismen korrigiert werden — sie wird durch diskrete strategische Entscheidungen verändert, die deutlich seltener als ein Quartal Frequenz haben. Eine Kennzahl mit Halblebensdauer 1,2 Quartalen wird hingegen kontinuierlich durch operative Vorgänge und Marktkonvergenz gefasst. Die Hauptachse Markt/Management bekommt damit eine quantitative Skala, die unabhängig von der ökonomischen Erzählung empirisch bestimmbar ist.</w:t>
      </w:r>
    </w:p>
    <w:p>
      <w:r>
        <w:rPr>
          <w:b/>
        </w:rPr>
        <w:t>Verstärker 2: Stromgrößen versus Bestandsgrößen.</w:t>
      </w:r>
    </w:p>
    <w:p>
      <w:r>
        <w:t>Eine dritte, bilanzmechanisch motivierte Lesart bestätigt die Hierarchie aus einer von den ersten beiden unabhängigen Richtung. Profitabilitätskennzahlen enthalten in ihrer Definition mindestens einen Stromwert: Ergebnis, EBIT, Free Cashflow oder Umsatz. Stromgrößen werden in jedem Quartal neu gemessen und akkumulieren sich nicht zwingend — der EBIT eines Quartals kann substantiell vom EBIT des Vorquartals abweichen, ohne dass eine bilanzielle Brücke zwischen beiden Werten existiert. Kapitalstrukturkennzahlen sind hingegen reine Bestandsrelationen — Eigenkapital geteilt durch Bilanzsumme oder Fremdkapital geteilt durch Eigenkapital. Bestände verändern sich nur durch diskrete Bilanzereignisse: Erträge fließen in das Eigenkapital, Verbindlichkeiten werden aufgenommen oder getilgt, Aktienrückkäufe reduzieren das Eigenkapital. Eine Bilanzposition kann sich quartalsweise nicht verdoppeln; eine Stromgröße prinzipiell schon.</w:t>
      </w:r>
    </w:p>
    <w:p>
      <w:r>
        <w:t>Die Current Ratio ist auch hier wieder der Hybrid: Sie verknüpft kurzfristige Bestände (Forderungen, Vorräte, kurzfristige Verbindlichkeiten), die zwar formal Bestände sind, aber durch operativen Geschäftsbetrieb so schnell umgeschlagen werden, dass sie sich quasi-stromartig verhalten. Diese duale Eigenschaft erklärt, warum die Liquiditätsdimension in allen drei Achsen — Marktexposition, Zeitkonstante und Bestandstypus — zwischen den beiden Polen liegt.</w:t>
      </w:r>
    </w:p>
    <w:p>
      <w:r>
        <w:t>Die Strom-Bestands-Achse ist nicht redundant zur Hauptachse, sondern eine unabhängige Begründung. Ihre Stärke liegt darin, dass sie aus reiner Buchhaltungsmechanik ableitbar ist und keine ökonomische Theorie voraussetzt. Sie zeigt, warum die beobachtete Hierarchie nicht nur ökonomisch plausibel, sondern auch strukturell zwingend ist: Eine Kennzahl, deren Wert sich aus reinen Bilanzbeständen errechnet, kann nicht quartalsweise stark mean-revertieren, weil sich die zugrundeliegenden Bestände selbst nicht quartalsweise stark verändern. Daraus folgt: Selbst wenn Marktmechanismen oder Management-Entscheidungen darauf wirken würden, sind sie auf Quartalsebene nicht beobachtbar. Dichev und Tang (2009) haben diese Logik bereits für Earnings ausgearbeitet; in der vorliegenden Studie zeigt sich, dass die Stromeigenschaft auch kennzahlübergreifend prädiktiv für die Mean-Reversion-Stärke ist.</w:t>
      </w:r>
    </w:p>
    <w:p>
      <w:r>
        <w:rPr>
          <w:b/>
          <w:color w:val="B8541C"/>
          <w:sz w:val="20"/>
        </w:rPr>
        <w:t>VERTIEFUNG #5 — DuPont-Brücke (Christie 1982 / Nissim &amp; Penman 2001)</w:t>
      </w:r>
    </w:p>
    <w:p>
      <w:r>
        <w:rPr>
          <w:i/>
          <w:color w:val="B8541C"/>
          <w:sz w:val="20"/>
        </w:rPr>
        <w:t>Hier wäre eine zweite zentrale Literatur-Verankerung sehr wirkungsvoll: Christie (1982) und Nissim &amp; Penman (2001) zur DuPont-Mechanik werden bisher nur in 4.1.2 als Hinweis erwähnt. Im Synthesebild von 4.3 könnte ein expliziter Block stehen: Klassische Mean-Reversion-Literatur (Stigler, Fama-French) erklärt φ₁; klassische Bilanzliteratur (Christie, Nissim-Penman) erklärt die σ-Kopplung über Hebelwirkung. Beide Literaturstränge treffen sich in der Quadrantenklassifikation der vorliegenden Arbeit — das ist ein argumentativ starker Synthese-Punkt für Kapitel 7 (Diskussion) und sollte hier in 4.3.1 zumindest angekündigt werden.</w:t>
      </w:r>
    </w:p>
    <w:p>
      <w:r>
        <w:rPr>
          <w:b/>
        </w:rPr>
        <w:t>Synthese der drei Begründungen.</w:t>
      </w:r>
    </w:p>
    <w:p>
      <w:r>
        <w:t>Die Drei-Schichten-Hierarchie wird damit aus drei voneinander unabhängigen Perspektiven gestützt: ökonomisch durch die Unterscheidung marktgetriebener und managementgetriebener Veränderungen; quantitativ durch die Skalierung der Halblebensdauern entlang typischer Entscheidungshorizonte; und bilanzmechanisch durch die Stromgrößen-Bestandsgrößen-Asymmetrie. Keine dieser Begründungen leitet sich aus den anderen ab — sie konvergieren auf demselben empirischen Befund aus eigenen Argumentationswegen. Diese Mehrfach-Verankerung ist im methodischen Sinn das, was den Befund zu einem strukturellen macht und ihn vor dem Verdacht abschirmt, ein Artefakt der spezifischen Datenwahl oder Modellspezifikation zu sein.</w:t>
      </w:r>
    </w:p>
    <w:p>
      <w:r>
        <w:t>Eine vierte, technische Achse — die Zähler-Nenner-Architektur der Kennzahlen — wird in dieser Arbeit in den Folgekapiteln entfaltet. Sie erklärt etwa die starke Volatilitätskopplung zwischen ROE und Debt/Equity (ρ_σ = 0,82) als algebraische Konsequenz des gemeinsamen Eigenkapital-Nenners; sie ist für die Interpretation von Querschnittskorrelationen in Kapitel 5 zentral. Für die Erklärung der Schichthierarchie selbst ist sie hingegen nur ein Detailargument: Innerhalb der Profitabilitätsschicht verfeinert sie die Position der ROE — die Kennzahl mit dem stärksten internen Hebel — gegenüber den anderen drei, ändert aber nichts an der Schicht-Zugehörigkeit selbst.</w:t>
      </w:r>
    </w:p>
    <w:p>
      <w:pPr>
        <w:pStyle w:val="Heading3"/>
      </w:pPr>
      <w:r>
        <w:t>4.3.2 Interpretation der sektoralen Heterogenität</w:t>
      </w:r>
    </w:p>
    <w:p>
      <w:r>
        <w:t>Die sektoralen Befunde aus Abschnitt 4.2 lassen sich systematisch durch die Markt-Management-Achse interpretieren. Da Branchen sich in der Stärke marktwirtschaftlicher Konkurrenz und im Anteil regulatorischer oder strukturell gesetzter Rahmenbedingungen unterscheiden, sollten sie sich auch in der Mean-Reversion-Stärke unterscheiden — und zwar gerade dort am deutlichsten, wo die Kennzahl zwischen Markt- und Management-Logik kippt: in der Liquiditäts- und Kapitalstrukturschicht. Genau das zeigen die Daten.</w:t>
      </w:r>
    </w:p>
    <w:p>
      <w:r>
        <w:t>Utilities sind das Lehrbuchbeispiel für regulatorisch induzierte Mean-Reversion. Versorger operieren in einem Umfeld vorgeschriebener Eigenkapitalquoten und genehmigter Renditen; Kapitalstrukturentscheidungen sind keine freien Managementoptionen, sondern in regulatorische Zielwerte eingebettet. Empirisch schlägt sich das in einer φ₁-Mean-Reversion bei der Eigenkapitalquote von −0,144 nieder — der mit Abstand stärkste Wert aller Sektoren und etwa dreimal so hoch wie der Gesamtmedian. Auch Debt/Equity ist mit −0,171 fast doppelt so stark mean-revertierend wie der Querschnitt. Die FCF-Marge zeigt mit −0,502 die stärkste Profitabilitäts-Mean-Reversion aller Sektoren, was über die regulatorischen Genehmigungsverfahren für Capex-Zyklen erklärbar ist: Investitionen in Utilities folgen mehrjährigen Genehmigungsfenstern, nicht opportunistischer Marktdynamik. Die Markt-Management-Achse erfasst hier präzise, was das Geschäftsmodell strukturell bewirkt.</w:t>
      </w:r>
    </w:p>
    <w:p>
      <w:r>
        <w:t>Real Estate liefert das spezifischste sektorale Profil der gesamten Stichprobe. Die Current Ratio zeigt mit φ₁ = −0,343 eine Mean-Reversion-Stärke, die fast doppelt so hoch ist wie der Gesamtmedian von −0,17. Der ökonomische Mechanismus liegt in der Geschäftslogik von REITs: Mieteinnahmen sind vertraglich fixiert und damit hochsystematisch, regulatorische Ausschüttungspflichten zwingen zu regelmäßigen Cashabflüssen, und Refinanzierungszyklen folgen den Laufzeiten von Hypotheken und Anleihen. All diese Mechanismen erzeugen ein deterministisches Liquiditätsmuster, das in der φ₁-Schätzung als starke Korrektur erscheint. Real Estate führt zusätzlich die Mean-Reversion-Tabelle in allen vier Profitabilitätskennzahlen an oder belegt vordere Plätze — die durch Mietverträge stabilisierte Cashflow-Struktur dämpft Schwankungen systematisch.</w:t>
      </w:r>
    </w:p>
    <w:p>
      <w:r>
        <w:t>Communication Services zeigt mit φ₁-Werten von −0,49 (ROA, ROE, EBIT-Marge) die stärkste Profitabilitäts-Mean-Reversion über alle Sektoren hinweg. Die ökonomische Erklärung liegt in der ausgeprägten Fixkostenstruktur der Branche: Telekommunikationsnetzwerke, Lizenzen und Content-Rechte binden hohe fixe Kosten, sodass operative Schocks (zum Beispiel ein erfolgreicher Inhaltsstart oder ein Wettbewerberangriff) auf eine starre Kostenbasis treffen. Margenausschläge sind groß, aber sie normalisieren sich schnell, weil die Fixkostenbasis nicht mitschwankt. Das ist die strukturelle Voraussetzung für die starke Mean-Reversion. Die kleine Stichprobengröße (n = 37) mahnt zwar zur Vorsicht bei Verallgemeinerungen, das Muster ist aber konsistent über alle vier Profitabilitäts­kennzahlen, was zufällige Stichprobeneffekte unwahrscheinlich macht.</w:t>
      </w:r>
    </w:p>
    <w:p>
      <w:r>
        <w:t>Basic Materials illustriert den entgegengesetzten Pol. Mit φ₁ = −0,372 für ROA und −0,382 für die FCF-Marge zeigt der Sektor die schwächste Profitabilitäts-Mean-Reversion der Stichprobe. Die Erklärung liegt in der mehrquartaligen Persistenz von Rohstoffpreiszyklen: Wenn der Kupferpreis steigt, profitieren Minenbetreiber über mehrere Quartale, weil die zugrundeliegende Treibergröße — der Rohstoffpreis — auf Quartalsebene stark autokorreliert ist. Damit verlängert sich auch die Halblebensdauer der Margenveränderung. Auch hier wirkt die Markt-Management-Achse, aber in der spezifischen Form der mittelfristig persistenten Marktpreis-Treiber: Der Markt korrigiert nicht schnell, weil die Korrekturkraft selbst zyklisch und träge ist. Technology zeigt mit φ₁ ≈ −0,40 ein ähnliches Profil, allerdings aus anderen Gründen: Akquisitionen und Plattformwechsel definieren neue Margennormale, die nicht zum vorherigen Niveau zurückkehren — eine Eigenschaft, die in der Querschnittsbetrachtung wie schwache Mean-Reversion erscheint, ökonomisch aber durch persistente Strukturveränderungen statt durch fehlende Korrektur erklärt ist.</w:t>
      </w:r>
    </w:p>
    <w:p>
      <w:r>
        <w:t>Diese fünf Sektorbeispiele zeigen ein konsistentes Muster: Wo Geschäftsmodell und Regulierung marktwirtschaftliche Konkurrenz dämpfen oder durch andere Mechanismen ersetzen (Utilities, Real Estate), entsteht zusätzliche oder verschobene Mean-Reversion. Wo strukturelle Kostenelastizität Margenkonvergenz beschleunigt (Communication Services), wird die Mean-Reversion verstärkt. Wo Markt­treiber selbst zyklisch und persistent sind (Basic Materials, Technology), wird sie geschwächt. In keinem Fall wird die Drei-Schichten-Hierarchie selbst aufgehoben — die Liquiditätsdimension bleibt in jedem Sektor zwischen Profitabilität und Kapitalstruktur, die Kapitalstruktur zeigt in jedem Sektor schwächere Mean-Reversion als die Profitabilität. Sektorale Heterogenität moduliert die Skala der Hierarchie, ohne sie strukturell zu kippen. Das stützt die in 4.3.1 entwickelte Erklärung: Es sind die Mechanismen der Veränderung, nicht die Kennzahlen selbst, die die Hierarchie bestimmen — und genau diese Mechanismen variieren systematisch zwischen Branchen.</w:t>
      </w:r>
    </w:p>
    <w:p>
      <w:r>
        <w:rPr>
          <w:b/>
          <w:color w:val="B8541C"/>
          <w:sz w:val="20"/>
        </w:rPr>
        <w:t>VERTIEFUNG #6 — Eigene Beobachtung — sektorale Trennbarkeit σ vs. φ₁</w:t>
      </w:r>
    </w:p>
    <w:p>
      <w:r>
        <w:rPr>
          <w:i/>
          <w:color w:val="B8541C"/>
          <w:sz w:val="20"/>
        </w:rPr>
        <w:t>Eine eigene Vertiefung, die hier oder in 4.4 reingehört: Die sektorale Spreizung der σ-Werte ist deutlich größer als die der φ₁-Werte. σ variiert zwischen Sektoren um Faktor 5–10 (z.B. Real Estate FCF-σ = 0,60 vs. Consumer Defensive 0,10), φ₁ nur um Faktor 1,3 (Comm. Services −0,49 vs. Basic Materials −0,37). Das ist ein zentraler Vorgriff auf den FF3-Befund (Kap. 6): Unternehmensgröße korreliert mit σ (ρ bis −0,53), nicht mit φ₁ (ρ ≈ 0). Die zwei Achsen reagieren auf strukturell verschiedene Treiber — ein eigenständiger Befund, der sich elegant in den Argumentationsbogen einfügt und die Trennbarkeits-Aussage aus 4.5.3 / 4.4 verstärkt.</w:t>
      </w:r>
    </w:p>
    <w:p>
      <w:pPr>
        <w:pStyle w:val="Heading3"/>
      </w:pPr>
      <w:r>
        <w:t>4.3.3 Interpretation der Quadrantenzugehörigkeit</w:t>
      </w:r>
    </w:p>
    <w:p>
      <w:r>
        <w:t>Die Quadrantenklassifikation kombiniert die beiden Dimensionen φ₁ und σ(ΔY) zu einem zwei­dimensionalen Typologieraster. Sie unterscheidet vier Profile: Korrektiv-Stabil (starke Korrektur bei niedriger Volatilität), Korrektiv-Volatil (starke Korrektur bei hoher Volatilität), Persistent-Stabil (schwache Korrektur bei niedriger Volatilität) und Persistent-Volatil (schwache Korrektur bei hoher Volatilität). Die Frage, ob diese Klassifikation einen eigenständigen Erkenntniswert über die reine φ₁- oder σ-Betrachtung hinaus besitzt, hängt an einer methodischen Voraussetzung: Sind die zwei Dimensionen empirisch trennbar, oder messen sie verwandte Eigenschaften?</w:t>
      </w:r>
    </w:p>
    <w:p>
      <w:r>
        <w:t>Die formale Prüfung dieser Trennbarkeit erfolgt in Abschnitt 4.5.3 mittels Spearman-Korrelationen zwischen φ₁ und σ pro Kennzahl; sie ergibt eine schwache Kopplung mit |ρ| &lt; 0,19 für die Profitabilitäts­schicht und 0,19–0,24 für die Bilanzstruktur — Werte, die im Sinne von Rucker et al. (2015) als geringe Kopplung gelten und die Median-Split-Klassifikation methodisch verteidigbar machen. Mit dieser empirisch belegten Trennbarkeit bilden die zwei Quadrantendimensionen also tatsächlich unterschiedliche strukturelle Eigenschaften ab: φ₁ steht für die Korrekturlogik der Veränderung, σ für die Exposition gegenüber Schwankungen. Beide Eigenschaften sind durch das Geschäftsmodell mitgesteuert, ohne sich mechanisch auseinander ableiten zu lassen.</w:t>
      </w:r>
    </w:p>
    <w:p>
      <w:r>
        <w:t>Daraus folgt eine wichtige Begrenzung der Aussagekraft auf Unternehmensebene: Die Quadrantenklassifikation ist nicht als statisches Gesamt-Label eines Unternehmens zu verstehen, sondern als dimensions- und kennzahlenspezifische Typisierung. Ein Unternehmen kann für ROA in Korrektiv-Stabil fallen, für die Current Ratio in Persistent-Volatil und für Debt/Equity in Persistent-Stabil — ohne dass dies einen Widerspruch darstellt. Die in Kapitel 6 (FF3) durchgeführten Konsistenzanalysen quantifizieren genau diese Eigenschaft: Nur 1,2 % der Unternehmen sind über alle sieben Kennzahlen hinweg im selben Quadranten, aber 97,6 % sind innerhalb der Profitabilitätsschicht konsistent in mindestens zwei von vier Kennzahlen. Die schichtbasierte Konsistenz ist hoch, die kennzahlenübergreifende ist niedrig — konsistent damit, dass die Schichten unterschiedliche Mechanismen abbilden, innerhalb der Schichten aber gemeinsame Treiber wirken.</w:t>
      </w:r>
    </w:p>
    <w:p>
      <w:r>
        <w:t>Die ökonomische Interpretation der Quadrantenzugehörigkeit ist damit eine doppelte: Der φ₁-Wert eines Unternehmen × Kennzahl-Paars bestimmt, wie sich das Geschäftsmodell zur Korrekturmechanik der jeweiligen Kennzahl verhält — ob es Marktkorrekturen vollständig durchlässt (stark negativer φ₁), sie dämpft (moderat negativer φ₁) oder ihnen weitgehend ausgesetzt ist (φ₁ nahe Null). Der σ-Wert bestimmt, wie ausgeprägt die Schwankungen sind, denen das Unternehmen überhaupt ausgesetzt ist. Beide Größen tragen zu einem charakteristischen Dynamikprofil bei, das in Kapitel 6 als externes Validierungs­instrument der gewählten Klassifikation systematisch geprüft wird — sowohl gegen Branchenzugehörigkeit als auch gegen Unternehmensgröße. Vorgreifend lässt sich festhalten: Die σ-Dimension korreliert stark mit operativer Größe (ρ bis −0,53 für Mitarbeiterzahl × FCF-σ), die φ₁-Dimension hingegen nicht (ρ ≈ 0). Die zwei Quadrantenachsen reagieren also auf verschiedene Strukturmerkmale — was die Eigenständigkeit der Klassifikation als analytisches Werkzeug bestätigt.</w:t>
      </w:r>
    </w:p>
    <w:p>
      <w:pPr>
        <w:pStyle w:val="Heading2"/>
      </w:pPr>
      <w:r>
        <w:t>4.4 Erkenntnisse aus FF1</w:t>
      </w:r>
    </w:p>
    <w:p>
      <w:r>
        <w:t>Die Kombination aus kennzahlenweiser Aggregation, sektoraler Detailanalyse und ökonomischer Interpretation erlaubt eine Antwort auf die Forschungsfrage FF1, die über die einfache Bestätigung systematischer Dynamikmuster hinausgeht. Drei Befunde verdienen besondere Hervorhebung.</w:t>
      </w:r>
    </w:p>
    <w:p>
      <w:r>
        <w:t>Erstens existiert eine Drei-Schichten-Hierarchie der Mean-Reversion, die nicht nur statistisch klar abgrenzbar, sondern auch strukturell zwingend ist. Die Profitabilitätsschicht zeigt mit medianen φ₁-Werten zwischen −0,43 und −0,46 eine starke und nahezu kennzahlenunabhängige Korrekturdynamik. Die Liquiditätsschicht (Current Ratio, φ₁ = −0,17) operiert auf einem Drittel dieser Stärke und übernimmt eine empirisch und ökonomisch hybride Übergangsfunktion zwischen marktgetriebenen und managementgetriebenen Kennzahlen. Die Kapitalstrukturschicht schließlich zeigt mit φ₁-Werten von −0,04 bis −0,09 nahezu kein AR-Signal — ein Nullbefund, der ökonomisch durch die diskrete Natur strategischer Bilanzentscheidungen gerechtfertigt ist. Drei voneinander unabhängige Begründungen — marktwirtschaftliche Konvergenz, Skalierung der Halblebensdauern entlang typischer Entscheidungshorizonte (1,2 / 3,6 / 7,4 / 17,1 Quartale) und die Strom-Bestands-Asymmetrie der Bilanzmechanik — stützen diesen Befund aus voneinander unabhängigen Argumentationswegen.</w:t>
      </w:r>
    </w:p>
    <w:p>
      <w:r>
        <w:t>Zweitens sind die zwei Quadrantendimensionen φ₁ und σ(ΔY) empirisch trennbar. Im Querschnitt beträgt der Spearman-Zusammenhang zwischen Mean-Reversion-Stärke und Änderungsvolatilität für die Profitabilitätskennzahlen |ρ| &lt; 0,19 und für die Bilanzstruktur 0,19 bis 0,24 (Abschnitt 4.5.3). Damit sind die beiden Achsen der Quadrantenklassifikation strukturell unterschiedliche Eigenschaften: φ₁ steht für die Korrekturlogik, σ für die Schwankungsexposition. Beide werden vom Geschäftsmodell mitgesteuert, aber über verschiedene Mechanismen — was die Quadrantenklassifikation als analytisches Werkzeug rechtfertigt und sie vor dem Verdacht abschirmt, sie würde nur eine einzige darunterliegende Eigenschaft in zwei Achsen aufspalten.</w:t>
      </w:r>
    </w:p>
    <w:p>
      <w:r>
        <w:t>Drittens existiert eine sektorale Heterogenität, die die Hierarchie nicht aufhebt, sondern moduliert. Über alle zehn untersuchten Sektoren bleibt die Schicht-Reihenfolge — Profitabilität ≪ Liquidität ≪ Kapitalstruktur, gemessen an der Stärke der Mean-Reversion — durchgehend erhalten. Innerhalb der Schichten variieren die φ₁-Werte aber systematisch: Communication Services führt mit −0,49 bei ROA, Real Estate liegt bei der Current Ratio doppelt so stark wie der Querschnitt, Utilities zeigen bei der Eigenkapitalquote als einziger Sektor messbare Mean-Reversion. Die Variation lässt sich konsistent über die Mechanismeninterpretation aus 4.3 erklären — wo Geschäftsmodell oder Regulierung auf eine Kennzahl wirken, verschieben sich ihre Dynamiken in die erwartete Richtung.</w:t>
      </w:r>
    </w:p>
    <w:p>
      <w:r>
        <w:t>Aus diesen drei Befunden ergibt sich die Antwort auf FF1: Finanzkennzahlen zeigen systematische Dynamikunterschiede, die sich in eine ökonomisch interpretierbare Drei-Schichten-Hierarchie ordnen, durch zwei trennbare strukturelle Eigenschaften beschrieben werden und sektorübergreifend stabil bleiben. Die Hierarchie selbst ist robust gegen die Wahl der Modellspezifikation und die Größe der Stichprobe (Abschnitt 4.5.1 und 4.5.2). Die nächste Frage — wie diese kennzahlenspezifischen Dynamikmuster im Querschnitt zusammenhängen — wird in Kapitel 5 unter der Forschungsfrage FF2 behandelt. Ein Ausblick darauf liefert bereits hier eine wichtige Erkenntnis: Wenn die Schichten unterschiedliche Mechanismen abbilden, sollten Querschnittskorrelationen der Mean-Reversion innerhalb der Schichten stark und über die Schichten hinweg schwach sein. Diese Block-Hypothese wird in Kap. 5 empirisch geprüft.</w:t>
      </w:r>
    </w:p>
    <w:p>
      <w:pPr>
        <w:pStyle w:val="Heading2"/>
      </w:pPr>
      <w:r>
        <w:t>4.5 Robustheit</w:t>
      </w:r>
    </w:p>
    <w:p>
      <w:r>
        <w:t>Die in den vorigen Abschnitten entwickelten Befunde stehen und fallen mit der Frage, ob sie ein Artefakt der spezifischen methodischen Wahl sind oder eine strukturelle Eigenschaft der Daten. Vier Robustheitsperspektiven werden im Folgenden geprüft: die Wahl der AR-Modellvariante (4.5.1), die Wirkung des Vollständigkeitsfilters auf die Stichprobe (4.5.2), die empirische Trennbarkeit der beiden Quadrantenachsen (4.5.3) sowie die zeitliche Stabilität der Dynamikmuster vor und nach der Globalen Finanzkrise (4.5.4) und die Symmetrie der Mean-Reversion gegenüber positiven und negativen Schocks (4.5.5).</w:t>
      </w:r>
    </w:p>
    <w:p>
      <w:pPr>
        <w:pStyle w:val="Heading3"/>
      </w:pPr>
      <w:r>
        <w:t>4.5.1 Modellvarianten</w:t>
      </w:r>
    </w:p>
    <w:p>
      <w:r>
        <w:t>Die Hauptanalyse spezifiziert AR(1) auf ersten Differenzen (Modell „diff1“). Drei alternative Spezifikationen werden zum Vergleich auf demselben Panel geschätzt: AR(1) auf Levels (Niveau-Persistenz, klassische Earnings-Persistence-Spezifikation), AR(2) auf ersten Differenzen (Lag-2-Korrektur über die Standardspezifikation hinaus) und AR(1) auf jährlichen Differenzen Δ₄Y (saisonal bereinigte Veränderung). Ziel ist die Prüfung, ob die Drei-Schichten-Hierarchie ein Artefakt der gewählten Differenzenbildung ist oder unter alternativen Spezifikationen erhalten bleibt.</w:t>
      </w:r>
    </w:p>
    <w:p>
      <w:pPr>
        <w:pStyle w:val="Caption"/>
        <w:jc w:val="center"/>
      </w:pPr>
      <w:r>
        <w:rPr>
          <w:i/>
        </w:rPr>
        <w:t>Tab. 4.5: φ₁-Mediane unter vier AR-Modellvarianten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198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diff1 (Hauptanalyse)</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levels</w:t>
            </w:r>
          </w:p>
        </w:tc>
        <w:tc>
          <w:tcPr>
            <w:tcW w:type="dxa" w:w="198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AR(2) auf diff1</w:t>
            </w:r>
          </w:p>
        </w:tc>
        <w:tc>
          <w:tcPr>
            <w:tcW w:type="dxa" w:w="164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Δ₄Y (saisonal)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−0,459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+0,100</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−0,603</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+0,123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+0,361</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−0,561</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+0,360</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−0,554</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+0,209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+0,317</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−0,548</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+0,799</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−0,207</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+0,589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+0,875</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−0,097</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+0,663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−0,040</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+0,929</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−0,041</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+0,722</w:t>
            </w:r>
          </w:p>
        </w:tc>
      </w:tr>
    </w:tbl>
    <w:p>
      <w:pPr>
        <w:jc w:val="center"/>
      </w:pPr>
      <w:r>
        <w:rPr>
          <w:i/>
          <w:color w:val="777777"/>
          <w:sz w:val="18"/>
        </w:rPr>
        <w:t>Quelle: eigene Berechnungen, output/ar/ar_summary_by_model_ratio.csv (26.084 AR-Schätzungen: 932 Ticker × 7 Kennzahlen × 4 Modelle)</w:t>
      </w:r>
    </w:p>
    <w:p>
      <w:pPr>
        <w:jc w:val="center"/>
      </w:pPr>
      <w:r>
        <w:drawing>
          <wp:inline xmlns:a="http://schemas.openxmlformats.org/drawingml/2006/main" xmlns:pic="http://schemas.openxmlformats.org/drawingml/2006/picture">
            <wp:extent cx="5400000" cy="2821025"/>
            <wp:docPr id="5" name="Picture 5"/>
            <wp:cNvGraphicFramePr>
              <a:graphicFrameLocks noChangeAspect="1"/>
            </wp:cNvGraphicFramePr>
            <a:graphic>
              <a:graphicData uri="http://schemas.openxmlformats.org/drawingml/2006/picture">
                <pic:pic>
                  <pic:nvPicPr>
                    <pic:cNvPr id="0" name="abb_5_3_modellvergleich_tabelle.png"/>
                    <pic:cNvPicPr/>
                  </pic:nvPicPr>
                  <pic:blipFill>
                    <a:blip r:embed="rId13"/>
                    <a:stretch>
                      <a:fillRect/>
                    </a:stretch>
                  </pic:blipFill>
                  <pic:spPr>
                    <a:xfrm>
                      <a:off x="0" y="0"/>
                      <a:ext cx="5400000" cy="2821025"/>
                    </a:xfrm>
                    <a:prstGeom prst="rect"/>
                  </pic:spPr>
                </pic:pic>
              </a:graphicData>
            </a:graphic>
          </wp:inline>
        </w:drawing>
      </w:r>
    </w:p>
    <w:p>
      <w:pPr>
        <w:pStyle w:val="Caption"/>
        <w:jc w:val="center"/>
      </w:pPr>
      <w:r>
        <w:rPr>
          <w:i/>
        </w:rPr>
        <w:t>Abb. 4.3: Modellvergleich der φ₁-Mediane (vier Modellvarianten × sieben Kennzahlen)</w:t>
      </w:r>
    </w:p>
    <w:p>
      <w:pPr>
        <w:jc w:val="center"/>
      </w:pPr>
      <w:r>
        <w:rPr>
          <w:i/>
          <w:color w:val="777777"/>
          <w:sz w:val="18"/>
        </w:rPr>
        <w:t>Quelle: eigene Darstellung</w:t>
      </w:r>
    </w:p>
    <w:p>
      <w:r>
        <w:t>Die Levels-Spezifikation kehrt das Vorzeichen der Hierarchie in zweierlei Hinsicht um. Erstens werden die φ₁-Werte positiv — was inhaltlich bedeutet, dass auf Niveau-Ebene Persistenz, nicht Korrektur, gemessen wird. Zweitens kehrt sich die Reihenfolge um: Die Eigenkapitalquote zeigt mit φ₁ = 0,93 die höchste Niveau-Persistenz, gefolgt von Debt/Equity (0,87) und Current Ratio (0,80). Die Profitabilitätskennzahlen liegen mit 0,32 bis 0,36 deutlich darunter, die FCF-Marge sogar nur bei 0,10. Diese Inversion ist kein Widerspruch, sondern eine zweite Lesart desselben Phänomens: Bilanzstrukturen bewegen sich auf Levels langsam und persistent — wenn sie sich aber bewegen, ist die Bewegung quasi-zufällig (φ₁,diff ≈ 0). Die Sicht der Veränderungen, die in der vorliegenden Arbeit gewählt wurde, macht diese Asymmetrie sichtbar; die Levels-Spezifikation bestätigt sie aus der Gegenrichtung. Beide Spezifikationen messen unterschiedliche Aspekte, ohne sich zu widersprechen.</w:t>
      </w:r>
    </w:p>
    <w:p>
      <w:r>
        <w:t>Die AR(2)-Spezifikation verstärkt die Hierarchie für die Profitabilitätsschicht: Der mediane φ₁ wandert von −0,43 auf −0,55, der R² steigt von 0,18 auf 0,29, die Signifikanzrate von 90 % auf 95 bis 99 %. Das zweite Lag fängt zusätzliche Korrekturdynamik ein, die das AR(1)-Modell unterschätzt. Für die Bilanzstrukturschicht ändert sich nichts — die zusätzliche Lag-Tiefe bringt keine zusätzliche Erklärungskraft, weil keine zu extrahierende Struktur vorhanden ist. Die Drei-Schichten-Hierarchie bleibt unter AR(2) erhalten, allerdings auf einem höheren Korrekturniveau in der Profitabilitätsschicht. Inhaltlich bedeutet das: AR(1) ist eine konservative Schätzung der Profitabilitäts-Mean-Reversion.</w:t>
      </w:r>
    </w:p>
    <w:p>
      <w:r>
        <w:t>Die saisonale Differenzen-Spezifikation Δ₄Y zeigt durchgängig positive φ₁-Werte. Das ist erwartbar: Auf Jahresbasis, bei der saisonale Effekte herausgenommen sind, dominieren persistierende Niveauveränderungen. Profitabilitätskennzahlen weisen φ₁ zwischen 0,12 und 0,21 auf, Bilanzstrukturkennzahlen zwischen 0,59 und 0,72 — die Hierarchie bleibt qualitativ erhalten (Bilanzstruktur persistenter als Profitabilität), wenn auch auf positivem Vorzeichen. Diese Spezifikation eignet sich nicht als Hauptmodell für die Korrekturanalyse, bestätigt aber, dass die Drei-Schichten-Hierarchie keine Eigenschaft der Quartalsdifferenzen-Wahl, sondern der zugrundeliegenden Datendynamik ist.</w:t>
      </w:r>
    </w:p>
    <w:p>
      <w:pPr>
        <w:pStyle w:val="Heading3"/>
      </w:pPr>
      <w:r>
        <w:t>4.5.2 Stichprobenrobustheit</w:t>
      </w:r>
    </w:p>
    <w:p>
      <w:r>
        <w:t>Der 100-Quartale-Vollständigkeitsfilter, der die Hauptstichprobe auf 932 Unternehmen reduziert, induziert einen Survivorship Bias: Nur Unternehmen, die über die gesamten 25 Jahre kontinuierlich börsennotiert und mit auswertbaren Daten verfügbar sind, gehen in die Schätzung ein. Um zu prüfen, wie stark dieser Filter die Befunde verzerrt, werden drei reduzierte Vollständigkeitsschwellen — 80, 60 und 40 Quartale — als Sensitivitätsanalysen mit jeweils erweiterten Stichproben durchgeführt.</w:t>
      </w:r>
    </w:p>
    <w:p>
      <w:pPr>
        <w:pStyle w:val="Caption"/>
        <w:jc w:val="center"/>
      </w:pPr>
      <w:r>
        <w:rPr>
          <w:i/>
        </w:rPr>
        <w:t>Tab. 4.6: φ₁-Mediane bei variablen Vollständigkeitsfiltern (Stichprobengrößen)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100Q (n=931)</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80Q (n=1.230)</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60Q (n=1.854)</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40Q (n=2.355)</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Max. Δ</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−0,429</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0,9 %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−0,423</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−0,425</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−0,422</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1,2 %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−0,426</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−0,418</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3,0 %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−0,460</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−0,455</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0,9 %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1,2 %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−0,104</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−0,104</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16,4 %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−0,040</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−0,041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−0,053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−0,056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40,2 %</w:t>
            </w:r>
          </w:p>
        </w:tc>
      </w:tr>
    </w:tbl>
    <w:p>
      <w:pPr>
        <w:jc w:val="center"/>
      </w:pPr>
      <w:r>
        <w:rPr>
          <w:i/>
          <w:color w:val="777777"/>
          <w:sz w:val="18"/>
        </w:rPr>
        <w:t>Quelle: eigene Berechnungen, output/robustness/sample_comparison.csv (vier Stichprobengrößen, jeweils Hauptmodellspezifikation diff1)</w:t>
      </w:r>
    </w:p>
    <w:p>
      <w:pPr>
        <w:jc w:val="center"/>
      </w:pPr>
      <w:r>
        <w:drawing>
          <wp:inline xmlns:a="http://schemas.openxmlformats.org/drawingml/2006/main" xmlns:pic="http://schemas.openxmlformats.org/drawingml/2006/picture">
            <wp:extent cx="5400000" cy="3219808"/>
            <wp:docPr id="6" name="Picture 6"/>
            <wp:cNvGraphicFramePr>
              <a:graphicFrameLocks noChangeAspect="1"/>
            </wp:cNvGraphicFramePr>
            <a:graphic>
              <a:graphicData uri="http://schemas.openxmlformats.org/drawingml/2006/picture">
                <pic:pic>
                  <pic:nvPicPr>
                    <pic:cNvPr id="0" name="abb_5_4_stichproben_robustheit.png"/>
                    <pic:cNvPicPr/>
                  </pic:nvPicPr>
                  <pic:blipFill>
                    <a:blip r:embed="rId14"/>
                    <a:stretch>
                      <a:fillRect/>
                    </a:stretch>
                  </pic:blipFill>
                  <pic:spPr>
                    <a:xfrm>
                      <a:off x="0" y="0"/>
                      <a:ext cx="5400000" cy="3219808"/>
                    </a:xfrm>
                    <a:prstGeom prst="rect"/>
                  </pic:spPr>
                </pic:pic>
              </a:graphicData>
            </a:graphic>
          </wp:inline>
        </w:drawing>
      </w:r>
    </w:p>
    <w:p>
      <w:pPr>
        <w:pStyle w:val="Caption"/>
        <w:jc w:val="center"/>
      </w:pPr>
      <w:r>
        <w:rPr>
          <w:i/>
        </w:rPr>
        <w:t>Abb. 4.4: Stichprobenrobustheit der φ₁-Mediane (40Q–100Q, sieben Kennzahlen)</w:t>
      </w:r>
    </w:p>
    <w:p>
      <w:pPr>
        <w:jc w:val="center"/>
      </w:pPr>
      <w:r>
        <w:rPr>
          <w:i/>
          <w:color w:val="777777"/>
          <w:sz w:val="18"/>
        </w:rPr>
        <w:t>Quelle: eigene Darstellung</w:t>
      </w:r>
    </w:p>
    <w:p>
      <w:r>
        <w:t>Das Bild zerfällt klar in zwei Gruppen. Bei den vier Profitabilitätskennzahlen und der Current Ratio bewegen sich die φ₁-Mediane unter den vier Stichprobengrößen um weniger als 3 % — die Werte sind in der Tabelle praktisch identisch. Der 100Q-Filter unterzeichnet diese Befunde nicht: Auch wenn man die Stichprobe auf 2.355 Unternehmen verdreifacht (40Q-Filter), bleibt die mediane Mean-Reversion-Stärke fast unverändert. Das ist ein starkes Argument gegen den Verdacht, der 100Q-Filter selektiere besonders korrektive Unternehmen und überzeichne damit die Hierarchie.</w:t>
      </w:r>
    </w:p>
    <w:p>
      <w:r>
        <w:t>Bei den Bilanzstrukturkennzahlen Debt/Equity und Eigenkapitalquote zeigen sich hingegen merkliche Verschiebungen. Der mediane φ₁ für Debt/Equity wandert von −0,089 (100Q) auf −0,104 (60Q und 40Q), bei der Eigenkapitalquote von −0,040 auf −0,056 — eine relative Veränderung von 16 % beziehungsweise 40 %. Diese Spreizung ist allerdings einzuordnen: Die Ausgangswerte liegen nahe Null, sodass kleine absolute Änderungen große relative Verschiebungen erzeugen. Der absolute φ₁ bleibt in beiden Fällen sehr niedrig — die Drei-Schichten-Hierarchie wird nicht aufgehoben, sondern lediglich in der untersten Schicht etwas verstärkt. Inhaltlich plausibel: Die zusätzlichen Unternehmen unter dem 40Q-Filter sind tendenziell jünger und kurzlebiger; sie verändern ihre Kapitalstruktur häufiger und damit dynamischer, was sich in einer leicht stärkeren Mean-Reversion auf Differenzen niederschlägt.</w:t>
      </w:r>
    </w:p>
    <w:p>
      <w:r>
        <w:t>Insgesamt ist die Drei-Schichten-Hierarchie damit hochrobust gegen die Stichprobenwahl. Die zentralen Befunde — starke Profitabilitäts-Mean-Reversion bei φ₁ ≈ −0,43, schwache Liquiditätskorrektur bei −0,17, praktisch keine Mean-Reversion bei Bilanzstruktur — gelten sowohl für die kleinste (n = 932) als auch für die größte (n = 2.356) verfügbare Stichprobe.</w:t>
      </w:r>
    </w:p>
    <w:p>
      <w:pPr>
        <w:pStyle w:val="Heading3"/>
      </w:pPr>
      <w:r>
        <w:t>4.5.3 Empirische Trennbarkeit der Quadrantendimensionen</w:t>
      </w:r>
    </w:p>
    <w:p>
      <w:r>
        <w:t>Die Quadrantenklassifikation nutzt φ₁ und σ(ΔY) als zwei orthogonale Achsen. Eine notwendige Voraussetzung ihrer methodischen Eigenständigkeit ist, dass beide Größen empirisch trennbar sind — wären sie stark korreliert, würde die zweidimensionale Klassifikation eine eindimensionale Eigenschaft nur künstlich aufspalten. Tabelle 4.7 prüft die Trennbarkeit kennzahlenweise über Spearman-Rangkorrelationen zwischen den unternehmensspezifischen φ₁- und σ-Schätzungen.</w:t>
      </w:r>
    </w:p>
    <w:p>
      <w:pPr>
        <w:pStyle w:val="Caption"/>
        <w:jc w:val="center"/>
      </w:pPr>
      <w:r>
        <w:rPr>
          <w:i/>
        </w:rPr>
        <w:t>Tab. 4.7: Spearman-Rangkorrelation φ₁ × σ(ΔY) pro Kennzahl (n je Kennzahl)</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ρ (Spearman)</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p-Wert</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α = 0,05</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0,006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0,213</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−0,182</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+0,045</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0,170</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−0,187</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−0,091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0,005</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bl>
    <w:p>
      <w:pPr>
        <w:jc w:val="center"/>
      </w:pPr>
      <w:r>
        <w:rPr>
          <w:i/>
          <w:color w:val="777777"/>
          <w:sz w:val="18"/>
        </w:rPr>
        <w:t>Quelle: eigene Berechnungen, output/ar/phi1_sigma_correlation.csv</w:t>
      </w:r>
    </w:p>
    <w:p>
      <w:r>
        <w:t>Die Werte liegen für alle sieben Kennzahlen unterhalb von |ρ| = 0,25. Innerhalb der Profitabilitätsschicht fällt die Kopplung mit |ρ| &lt; 0,19 sehr schwach aus; in zwei der vier Profitabilitätskennzahlen (ROE, FCF-Marge) lässt sie sich statistisch nicht von Null unterscheiden. Bei den Bilanzstrukturkennzahlen ist die Kopplung mit ρ-Werten zwischen −0,09 und −0,24 etwas stärker, bleibt aber in einem Bereich, den Rucker et al. (2015) als geringe Korrelation klassifizieren — und unter dem Schwellenwert, ab dem ein Median-Split über zwei Dimensionen methodisch problematisch würde.</w:t>
      </w:r>
    </w:p>
    <w:p>
      <w:r>
        <w:t>Inhaltlich bedeutet dies: Die Mean-Reversion-Stärke einer Kennzahl auf Unternehmensebene und ihre Quartalsvolatilität messen tatsächlich unterschiedliche strukturelle Eigenschaften. Ein Unternehmen mit hoher Volatilität in seiner ROA muss nicht gleichzeitig eine starke Mean-Reversion zeigen, und umgekehrt. Die schwache negative Tendenz bei den Bilanzstrukturkennzahlen — Unternehmen mit volatilerer Verschuldung zeigen tendenziell etwas stärkere Mean-Reversion — ist ökonomisch durch häufigere Refinanzierungsereignisse plausibel: Wer öfter umschuldet, hat sowohl stärkere Schwankungen als auch deutlichere Korrekturen zur Zielstruktur. Methodisch ist die Trennbarkeit damit für alle sieben Kennzahlen ausreichend gegeben, um die Quadrantenklassifikation als eigenständiges analytisches Werkzeug zu führen.</w:t>
      </w:r>
    </w:p>
    <w:p>
      <w:pPr>
        <w:pStyle w:val="Heading3"/>
      </w:pPr>
      <w:r>
        <w:t>4.5.4 Halbperioden-Vergleich (Prä- vs. Post-Finanzkrisen-Regime)</w:t>
      </w:r>
    </w:p>
    <w:p>
      <w:r>
        <w:rPr>
          <w:b/>
          <w:i/>
          <w:color w:val="B8541C"/>
        </w:rPr>
        <w:t>[Berechnung folgt – Erweiterung E5.1 noch nicht ausgeführt]</w:t>
      </w:r>
    </w:p>
    <w:p>
      <w:r>
        <w:t>Eine wichtige Robustheitsfrage ist, ob die in dieser Arbeit identifizierten Dynamikmuster über den 25-Jahres-Beobachtungszeitraum stabil sind oder sich mit dem makroökonomischen Regimewechsel um die Globale Finanzkrise systematisch verändern. Eine zweigeteilte Schätzung — AR(1) separat für 2000Q1 bis 2012Q4 (Vor-Krise einschließlich Finanzkrise, 52 Quartale) und 2013Q1 bis 2024Q4 (Nachkrisenphase einschließlich COVID, 48 Quartale) — würde diese Frage adressieren. Die Hypothese: Die strukturellen Mean-Reversion-Eigenschaften der Profitabilitätskennzahlen sollten in beiden Halbperioden ähnlich sein, weil sie auf wettbewerblichen Mechanismen beruhen, die nicht mit dem Regimewechsel verschwinden. Stärkere Verschiebungen wären in der Bilanzstrukturschicht zu erwarten, weil sich Refinanzierungsbedingungen und Kapitalmarktzugang über die Niedrigzinsphase der 2010er-Jahre substantiell verändert haben.</w:t>
      </w:r>
    </w:p>
    <w:p>
      <w:r>
        <w:t>Methodisch wäre die Auswertung über einen Wilcoxon-Vorzeichen-Rang-Test der unternehmensspezifischen φ₁-Differenzen zwischen den beiden Halbperioden zu führen. Eine ergänzende Visualisierung als gegenübergestellte Boxplots der φ₁-Verteilungen pro Kennzahl × Halbperiode würde die Stabilität (oder Instabilität) der Hierarchie über die Zeit unmittelbar sichtbar machen. Die zugehörigen Berechnungen sind als Erweiterung E5.1 vorgemerkt; ihre Aufnahme in das Kapitel ist abhängig vom verbleibenden Zeitbudget.</w:t>
      </w:r>
    </w:p>
    <w:p>
      <w:pPr>
        <w:pStyle w:val="Heading3"/>
      </w:pPr>
      <w:r>
        <w:t>4.5.5 Asymmetrie der Mean-Reversion</w:t>
      </w:r>
    </w:p>
    <w:p>
      <w:r>
        <w:rPr>
          <w:b/>
          <w:i/>
          <w:color w:val="B8541C"/>
        </w:rPr>
        <w:t>[Berechnung folgt – Erweiterung E5.3 noch nicht ausgeführt]</w:t>
      </w:r>
    </w:p>
    <w:p>
      <w:r>
        <w:t>Das in den vorigen Abschnitten verwendete AR(1)-Modell setzt implizit eine Symmetrie der Mean-Reversion voraus: Positive und negative Schocks werden gleich stark korrigiert. Diese Annahme ist ökonomisch nicht trivial. Es gibt theoretische Argumente sowohl für asymmetrische Korrektur (Verluste werden langsamer akzeptiert als Gewinne, „loss aversion“ auf Unternehmensebene; konservative Bilanzpolitik nach negativen Schocks) als auch für asymmetrische Persistenz (positive operative Überraschungen werden tendenziell kapitalisiert, negative kommuniziert).</w:t>
      </w:r>
    </w:p>
    <w:p>
      <w:r>
        <w:t>Eine direkte Prüfung würde die AR(1)-Residuen nach dem Vorzeichen des Vorquartalsschocks splitten und separate φ₁⁺ (nach positiven Schocks) und φ₁⁻ (nach negativen Schocks) schätzen. Eine alternative Spezifikation wäre ein Threshold-AR(1)-Modell mit zwei Regimes, deren Mean-Reversion-Koeffizienten vom Vorzeichen der vorigen Veränderung abhängen. Beide Ansätze würden die symmetrische Annahme des Hauptmodells testen und gegebenenfalls eine differenziertere Erzählung der Dynamik liefern: Wenn etwa Profitabilitätsschocks asymmetrisch korrigieren, würde das die in 4.3.1 entwickelte Marktkonvergenz-Argumentation um eine Verhaltenskomponente erweitern. Die Auswertung ist als Erweiterung E5.3 vorgemerkt; ein Forest-Plot der φ₁⁺/φ₁⁻-Konfidenzintervalle pro Kennzahl wäre die kompakteste Darstellungsform.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