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ADD44" w14:textId="77777777" w:rsidR="0041350B" w:rsidRPr="003F6245" w:rsidRDefault="00000000">
      <w:pPr>
        <w:pStyle w:val="berschrift1"/>
        <w:rPr>
          <w:rFonts w:asciiTheme="minorHAnsi" w:hAnsiTheme="minorHAnsi"/>
        </w:rPr>
      </w:pPr>
      <w:r w:rsidRPr="003F6245">
        <w:rPr>
          <w:rFonts w:asciiTheme="minorHAnsi" w:hAnsiTheme="minorHAnsi"/>
        </w:rPr>
        <w:t>4 Methodik</w:t>
      </w:r>
    </w:p>
    <w:p w14:paraId="3237551E" w14:textId="77777777" w:rsidR="0041350B" w:rsidRPr="003F6245" w:rsidRDefault="00A5597F">
      <w:pPr>
        <w:spacing w:after="120" w:line="360" w:lineRule="auto"/>
        <w:jc w:val="both"/>
        <w:rPr>
          <w:rFonts w:asciiTheme="minorHAnsi" w:hAnsiTheme="minorHAnsi"/>
        </w:rPr>
      </w:pPr>
      <w:r w:rsidRPr="003F6245">
        <w:rPr>
          <w:rFonts w:asciiTheme="minorHAnsi" w:hAnsiTheme="minorHAnsi"/>
        </w:rPr>
        <w:t>Die zentrale methodische Entscheidung dieser Arbeit, autoregressive Modelle erster Ordnung auf ersten Differenzen von Finanzkennzahlen zu schätzen, folgt aus der Abwägung zwischen statistischer Optimalität und Querschnitts Vergleichbarkeit (4.2).</w:t>
      </w:r>
      <w:r w:rsidRPr="003F6245">
        <w:rPr>
          <w:rFonts w:asciiTheme="minorHAnsi" w:hAnsiTheme="minorHAnsi"/>
        </w:rPr>
        <w:br/>
        <w:t>Die folgenden Abschnitte legen die Datenbasis (4.1), das Kernmodell (4.2), die Quadrantenklassifikation (4.3), das Robustheitsdesign (4.4) und die statistischen Testverfahren (4.5) dar.</w:t>
      </w:r>
    </w:p>
    <w:p w14:paraId="0FC92A75" w14:textId="77777777" w:rsidR="0041350B" w:rsidRPr="003F6245" w:rsidRDefault="00000000">
      <w:pPr>
        <w:pStyle w:val="berschrift2"/>
        <w:rPr>
          <w:rFonts w:asciiTheme="minorHAnsi" w:hAnsiTheme="minorHAnsi"/>
        </w:rPr>
      </w:pPr>
      <w:r w:rsidRPr="003F6245">
        <w:rPr>
          <w:rFonts w:asciiTheme="minorHAnsi" w:hAnsiTheme="minorHAnsi"/>
        </w:rPr>
        <w:t>4.1 Datengrundlage</w:t>
      </w:r>
    </w:p>
    <w:p w14:paraId="336E73B7" w14:textId="77777777" w:rsidR="0041350B" w:rsidRPr="003F6245" w:rsidRDefault="00A5597F">
      <w:pPr>
        <w:spacing w:after="120" w:line="360" w:lineRule="auto"/>
        <w:jc w:val="both"/>
        <w:rPr>
          <w:rFonts w:asciiTheme="minorHAnsi" w:hAnsiTheme="minorHAnsi"/>
        </w:rPr>
      </w:pPr>
      <w:r w:rsidRPr="003F6245">
        <w:rPr>
          <w:rFonts w:asciiTheme="minorHAnsi" w:hAnsiTheme="minorHAnsi"/>
        </w:rPr>
        <w:t>Die empirische Analyse basiert auf Quartalsdaten US-amerikanischer börsennotierter Unternehmen über einen Zeitraum von 25 Jahren (Q1/2000 bis Q4/2024, 100 Quartale). Die Rohdaten wurden über die EODHD Financial API bezogen, die standardisierte Quartalsberichte (Income Statement, Balance Sheet, Cash Flow Statement) im US-GAAP-Format bereitstellt. Die Datenbasis der API umfasst den S&amp;P Composite 1500 Index, der Large-Cap- (S&amp;P 500), Mid-Cap- (S&amp;P 400) und Small-Cap-Unternehmen (S&amp;P 600) vereint und damit ein breites Spektrum der US-amerikanischen Börsenlandschaft abdeckt. Nach Anwendung, der in den folgenden Abschnitten beschriebenen Filterkette, verbleiben 932 Unternehmen in der finalen Stichprobe.</w:t>
      </w:r>
    </w:p>
    <w:p w14:paraId="2F5A0993" w14:textId="77777777" w:rsidR="0041350B" w:rsidRPr="003F6245" w:rsidRDefault="00000000">
      <w:pPr>
        <w:pStyle w:val="berschrift3"/>
        <w:rPr>
          <w:rFonts w:asciiTheme="minorHAnsi" w:hAnsiTheme="minorHAnsi"/>
        </w:rPr>
      </w:pPr>
      <w:r w:rsidRPr="003F6245">
        <w:rPr>
          <w:rFonts w:asciiTheme="minorHAnsi" w:hAnsiTheme="minorHAnsi"/>
        </w:rPr>
        <w:t>Filterkette</w:t>
      </w:r>
    </w:p>
    <w:p w14:paraId="2C2E1AEE"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 xml:space="preserve">Die Stichprobe durchläuft eine vierstufige Filterkette, die in Tabelle 4.1 dokumentiert ist.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2384"/>
        <w:gridCol w:w="879"/>
        <w:gridCol w:w="982"/>
        <w:gridCol w:w="1006"/>
        <w:gridCol w:w="2960"/>
      </w:tblGrid>
      <w:tr w:rsidR="0041350B" w:rsidRPr="003F6245" w14:paraId="7E47731A" w14:textId="77777777" w:rsidTr="001E1DF3">
        <w:tc>
          <w:tcPr>
            <w:tcW w:w="789"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FCBDDB8" w14:textId="77777777" w:rsidR="0041350B" w:rsidRPr="003F6245" w:rsidRDefault="00000000">
            <w:pPr>
              <w:rPr>
                <w:rFonts w:asciiTheme="minorHAnsi" w:hAnsiTheme="minorHAnsi"/>
              </w:rPr>
            </w:pPr>
            <w:r w:rsidRPr="003F6245">
              <w:rPr>
                <w:rFonts w:asciiTheme="minorHAnsi" w:hAnsiTheme="minorHAnsi"/>
                <w:b/>
                <w:bCs/>
                <w:sz w:val="20"/>
                <w:szCs w:val="20"/>
              </w:rPr>
              <w:t>Schritt</w:t>
            </w:r>
          </w:p>
        </w:tc>
        <w:tc>
          <w:tcPr>
            <w:tcW w:w="2407"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B05E410" w14:textId="77777777" w:rsidR="0041350B" w:rsidRPr="003F6245" w:rsidRDefault="00000000">
            <w:pPr>
              <w:rPr>
                <w:rFonts w:asciiTheme="minorHAnsi" w:hAnsiTheme="minorHAnsi"/>
              </w:rPr>
            </w:pPr>
            <w:r w:rsidRPr="003F6245">
              <w:rPr>
                <w:rFonts w:asciiTheme="minorHAnsi" w:hAnsiTheme="minorHAnsi"/>
                <w:b/>
                <w:bCs/>
                <w:sz w:val="20"/>
                <w:szCs w:val="20"/>
              </w:rPr>
              <w:t>Aktion</w:t>
            </w:r>
          </w:p>
        </w:tc>
        <w:tc>
          <w:tcPr>
            <w:tcW w:w="979"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C0B1C32" w14:textId="77777777" w:rsidR="0041350B" w:rsidRPr="003F6245" w:rsidRDefault="00000000">
            <w:pPr>
              <w:rPr>
                <w:rFonts w:asciiTheme="minorHAnsi" w:hAnsiTheme="minorHAnsi"/>
              </w:rPr>
            </w:pPr>
            <w:r w:rsidRPr="003F6245">
              <w:rPr>
                <w:rFonts w:asciiTheme="minorHAnsi" w:hAnsiTheme="minorHAnsi"/>
                <w:b/>
                <w:bCs/>
                <w:sz w:val="20"/>
                <w:szCs w:val="20"/>
              </w:rPr>
              <w:t>Vorher</w:t>
            </w:r>
          </w:p>
        </w:tc>
        <w:tc>
          <w:tcPr>
            <w:tcW w:w="1044"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145709A" w14:textId="77777777" w:rsidR="0041350B" w:rsidRPr="003F6245" w:rsidRDefault="00000000">
            <w:pPr>
              <w:rPr>
                <w:rFonts w:asciiTheme="minorHAnsi" w:hAnsiTheme="minorHAnsi"/>
              </w:rPr>
            </w:pPr>
            <w:r w:rsidRPr="003F6245">
              <w:rPr>
                <w:rFonts w:asciiTheme="minorHAnsi" w:hAnsiTheme="minorHAnsi"/>
                <w:b/>
                <w:bCs/>
                <w:sz w:val="20"/>
                <w:szCs w:val="20"/>
              </w:rPr>
              <w:t>Entfernt</w:t>
            </w:r>
          </w:p>
        </w:tc>
        <w:tc>
          <w:tcPr>
            <w:tcW w:w="1044"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FFD6D88" w14:textId="77777777" w:rsidR="0041350B" w:rsidRPr="003F6245" w:rsidRDefault="00000000">
            <w:pPr>
              <w:rPr>
                <w:rFonts w:asciiTheme="minorHAnsi" w:hAnsiTheme="minorHAnsi"/>
              </w:rPr>
            </w:pPr>
            <w:r w:rsidRPr="003F6245">
              <w:rPr>
                <w:rFonts w:asciiTheme="minorHAnsi" w:hAnsiTheme="minorHAnsi"/>
                <w:b/>
                <w:bCs/>
                <w:sz w:val="20"/>
                <w:szCs w:val="20"/>
              </w:rPr>
              <w:t>Nachher</w:t>
            </w:r>
          </w:p>
        </w:tc>
        <w:tc>
          <w:tcPr>
            <w:tcW w:w="2763"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85FCCFB" w14:textId="77777777" w:rsidR="0041350B" w:rsidRPr="003F6245" w:rsidRDefault="00000000">
            <w:pPr>
              <w:rPr>
                <w:rFonts w:asciiTheme="minorHAnsi" w:hAnsiTheme="minorHAnsi"/>
              </w:rPr>
            </w:pPr>
            <w:r w:rsidRPr="003F6245">
              <w:rPr>
                <w:rFonts w:asciiTheme="minorHAnsi" w:hAnsiTheme="minorHAnsi"/>
                <w:b/>
                <w:bCs/>
                <w:sz w:val="20"/>
                <w:szCs w:val="20"/>
              </w:rPr>
              <w:t>Begründung</w:t>
            </w:r>
          </w:p>
        </w:tc>
      </w:tr>
      <w:tr w:rsidR="0041350B" w:rsidRPr="003F6245" w14:paraId="5D1855A8"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1795F2" w14:textId="77777777" w:rsidR="0041350B" w:rsidRPr="003F6245" w:rsidRDefault="00000000">
            <w:pPr>
              <w:rPr>
                <w:rFonts w:asciiTheme="minorHAnsi" w:hAnsiTheme="minorHAnsi"/>
              </w:rPr>
            </w:pPr>
            <w:r w:rsidRPr="003F6245">
              <w:rPr>
                <w:rFonts w:asciiTheme="minorHAnsi" w:hAnsiTheme="minorHAnsi"/>
                <w:sz w:val="20"/>
                <w:szCs w:val="20"/>
              </w:rP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E0352A" w14:textId="77777777" w:rsidR="0041350B" w:rsidRPr="003F6245" w:rsidRDefault="00636D1B">
            <w:pPr>
              <w:rPr>
                <w:rFonts w:asciiTheme="minorHAnsi" w:hAnsiTheme="minorHAnsi"/>
              </w:rPr>
            </w:pPr>
            <w:r w:rsidRPr="003F6245">
              <w:rPr>
                <w:rFonts w:asciiTheme="minorHAnsi" w:hAnsiTheme="minorHAnsi"/>
                <w:sz w:val="20"/>
                <w:szCs w:val="20"/>
              </w:rPr>
              <w:t>API Datenbasis</w:t>
            </w:r>
            <w:r w:rsidRPr="003F6245">
              <w:rPr>
                <w:rFonts w:asciiTheme="minorHAnsi" w:hAnsiTheme="minorHAnsi"/>
                <w:sz w:val="20"/>
                <w:szCs w:val="20"/>
              </w:rPr>
              <w:br/>
              <w:t>(Bilanz/G&amp;V/CF)</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645457" w14:textId="77777777" w:rsidR="0041350B" w:rsidRPr="003F6245" w:rsidRDefault="00636D1B">
            <w:pPr>
              <w:rPr>
                <w:rFonts w:asciiTheme="minorHAnsi" w:hAnsiTheme="minorHAnsi"/>
              </w:rPr>
            </w:pPr>
            <w:r w:rsidRPr="003F6245">
              <w:rPr>
                <w:rFonts w:asciiTheme="minorHAnsi" w:hAnsiTheme="minorHAnsi"/>
              </w:rP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045D67" w14:textId="77777777" w:rsidR="0041350B" w:rsidRPr="003F6245" w:rsidRDefault="00636D1B">
            <w:pPr>
              <w:rPr>
                <w:rFonts w:asciiTheme="minorHAnsi" w:hAnsiTheme="minorHAnsi"/>
              </w:rPr>
            </w:pPr>
            <w:r w:rsidRPr="003F6245">
              <w:rPr>
                <w:rFonts w:asciiTheme="minorHAnsi" w:hAnsiTheme="minorHAnsi"/>
              </w:rP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80236A" w14:textId="77777777" w:rsidR="0041350B" w:rsidRPr="003F6245" w:rsidRDefault="00000000">
            <w:pPr>
              <w:rPr>
                <w:rFonts w:asciiTheme="minorHAnsi" w:hAnsiTheme="minorHAnsi"/>
              </w:rPr>
            </w:pPr>
            <w:r w:rsidRPr="003F6245">
              <w:rPr>
                <w:rFonts w:asciiTheme="minorHAnsi" w:hAnsiTheme="minorHAnsi"/>
                <w:sz w:val="20"/>
                <w:szCs w:val="20"/>
              </w:rPr>
              <w:t>5.871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DB8209" w14:textId="77777777" w:rsidR="0041350B" w:rsidRPr="003F6245" w:rsidRDefault="00000000">
            <w:pPr>
              <w:rPr>
                <w:rFonts w:asciiTheme="minorHAnsi" w:hAnsiTheme="minorHAnsi"/>
              </w:rPr>
            </w:pPr>
            <w:r w:rsidRPr="003F6245">
              <w:rPr>
                <w:rFonts w:asciiTheme="minorHAnsi" w:hAnsiTheme="minorHAnsi"/>
                <w:sz w:val="20"/>
                <w:szCs w:val="20"/>
              </w:rPr>
              <w:t>Nur Unternehmen mit allen drei Abschlüssen</w:t>
            </w:r>
          </w:p>
        </w:tc>
      </w:tr>
      <w:tr w:rsidR="0041350B" w:rsidRPr="003F6245" w14:paraId="0B5AFDF1"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AE554" w14:textId="77777777" w:rsidR="0041350B" w:rsidRPr="003F6245" w:rsidRDefault="00000000">
            <w:pPr>
              <w:rPr>
                <w:rFonts w:asciiTheme="minorHAnsi" w:hAnsiTheme="minorHAnsi"/>
              </w:rPr>
            </w:pPr>
            <w:r w:rsidRPr="003F6245">
              <w:rPr>
                <w:rFonts w:asciiTheme="minorHAnsi" w:hAnsiTheme="minorHAnsi"/>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5C8316" w14:textId="77777777" w:rsidR="0041350B" w:rsidRPr="003F6245" w:rsidRDefault="00000000">
            <w:pPr>
              <w:rPr>
                <w:rFonts w:asciiTheme="minorHAnsi" w:hAnsiTheme="minorHAnsi"/>
              </w:rPr>
            </w:pPr>
            <w:r w:rsidRPr="003F6245">
              <w:rPr>
                <w:rFonts w:asciiTheme="minorHAnsi" w:hAnsiTheme="minorHAnsi"/>
                <w:sz w:val="20"/>
                <w:szCs w:val="20"/>
              </w:rPr>
              <w:t>Sektor-Filter</w:t>
            </w:r>
            <w:r w:rsidRPr="003F6245">
              <w:rPr>
                <w:rFonts w:asciiTheme="minorHAnsi" w:hAnsiTheme="minorHAnsi"/>
                <w:sz w:val="20"/>
                <w:szCs w:val="20"/>
              </w:rPr>
              <w:br/>
              <w:t>(Financial Services exkludiert)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1DA5FA" w14:textId="77777777" w:rsidR="0041350B" w:rsidRPr="003F6245" w:rsidRDefault="00000000">
            <w:pPr>
              <w:rPr>
                <w:rFonts w:asciiTheme="minorHAnsi" w:hAnsiTheme="minorHAnsi"/>
              </w:rPr>
            </w:pPr>
            <w:r w:rsidRPr="003F6245">
              <w:rPr>
                <w:rFonts w:asciiTheme="minorHAnsi" w:hAnsiTheme="minorHAnsi"/>
                <w:sz w:val="20"/>
                <w:szCs w:val="20"/>
              </w:rPr>
              <w:t>5.871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5507E" w14:textId="77777777" w:rsidR="0041350B" w:rsidRPr="003F6245" w:rsidRDefault="00000000">
            <w:pPr>
              <w:rPr>
                <w:rFonts w:asciiTheme="minorHAnsi" w:hAnsiTheme="minorHAnsi"/>
              </w:rPr>
            </w:pPr>
            <w:r w:rsidRPr="003F6245">
              <w:rPr>
                <w:rFonts w:asciiTheme="minorHAnsi" w:hAnsiTheme="minorHAnsi"/>
                <w:sz w:val="20"/>
                <w:szCs w:val="20"/>
              </w:rPr>
              <w:t>883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9DE889" w14:textId="77777777" w:rsidR="0041350B" w:rsidRPr="003F6245" w:rsidRDefault="00000000">
            <w:pPr>
              <w:rPr>
                <w:rFonts w:asciiTheme="minorHAnsi" w:hAnsiTheme="minorHAnsi"/>
              </w:rPr>
            </w:pPr>
            <w:r w:rsidRPr="003F6245">
              <w:rPr>
                <w:rFonts w:asciiTheme="minorHAnsi" w:hAnsiTheme="minorHAnsi"/>
                <w:sz w:val="20"/>
                <w:szCs w:val="20"/>
              </w:rPr>
              <w:t>4.988</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EEA5CA" w14:textId="77777777" w:rsidR="0041350B" w:rsidRPr="003F6245" w:rsidRDefault="00000000">
            <w:pPr>
              <w:rPr>
                <w:rFonts w:asciiTheme="minorHAnsi" w:hAnsiTheme="minorHAnsi"/>
              </w:rPr>
            </w:pPr>
            <w:r w:rsidRPr="003F6245">
              <w:rPr>
                <w:rFonts w:asciiTheme="minorHAnsi" w:hAnsiTheme="minorHAnsi"/>
                <w:sz w:val="20"/>
                <w:szCs w:val="20"/>
              </w:rPr>
              <w:t>Regulierte Bilanzen</w:t>
            </w:r>
          </w:p>
        </w:tc>
      </w:tr>
      <w:tr w:rsidR="0041350B" w:rsidRPr="003F6245" w14:paraId="14F947D9"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CCCBEF" w14:textId="77777777" w:rsidR="0041350B" w:rsidRPr="003F6245" w:rsidRDefault="001E1DF3">
            <w:pPr>
              <w:rPr>
                <w:rFonts w:asciiTheme="minorHAnsi" w:hAnsiTheme="minorHAnsi"/>
              </w:rPr>
            </w:pPr>
            <w:r w:rsidRPr="003F6245">
              <w:rPr>
                <w:rFonts w:asciiTheme="minorHAnsi" w:hAnsiTheme="minorHAnsi"/>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8714F" w14:textId="77777777" w:rsidR="0041350B" w:rsidRPr="003F6245" w:rsidRDefault="00000000">
            <w:pPr>
              <w:rPr>
                <w:rFonts w:asciiTheme="minorHAnsi" w:hAnsiTheme="minorHAnsi"/>
              </w:rPr>
            </w:pPr>
            <w:r w:rsidRPr="003F6245">
              <w:rPr>
                <w:rFonts w:asciiTheme="minorHAnsi" w:hAnsiTheme="minorHAnsi"/>
                <w:sz w:val="20"/>
                <w:szCs w:val="20"/>
              </w:rPr>
              <w:t>ADR-Filter</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DFA33E" w14:textId="77777777" w:rsidR="0041350B" w:rsidRPr="003F6245" w:rsidRDefault="00000000">
            <w:pPr>
              <w:rPr>
                <w:rFonts w:asciiTheme="minorHAnsi" w:hAnsiTheme="minorHAnsi"/>
              </w:rPr>
            </w:pPr>
            <w:r w:rsidRPr="003F6245">
              <w:rPr>
                <w:rFonts w:asciiTheme="minorHAnsi" w:hAnsiTheme="minorHAnsi"/>
                <w:sz w:val="20"/>
                <w:szCs w:val="20"/>
              </w:rPr>
              <w:t>4.988</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863633" w14:textId="77777777" w:rsidR="0041350B" w:rsidRPr="003F6245" w:rsidRDefault="00000000">
            <w:pPr>
              <w:rPr>
                <w:rFonts w:asciiTheme="minorHAnsi" w:hAnsiTheme="minorHAnsi"/>
              </w:rPr>
            </w:pPr>
            <w:r w:rsidRPr="003F6245">
              <w:rPr>
                <w:rFonts w:asciiTheme="minorHAnsi" w:hAnsiTheme="minorHAnsi"/>
                <w:sz w:val="20"/>
                <w:szCs w:val="20"/>
              </w:rPr>
              <w:t>646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DA109A" w14:textId="77777777" w:rsidR="0041350B" w:rsidRPr="003F6245" w:rsidRDefault="00000000">
            <w:pPr>
              <w:rPr>
                <w:rFonts w:asciiTheme="minorHAnsi" w:hAnsiTheme="minorHAnsi"/>
              </w:rPr>
            </w:pPr>
            <w:r w:rsidRPr="003F6245">
              <w:rPr>
                <w:rFonts w:asciiTheme="minorHAnsi" w:hAnsiTheme="minorHAnsi"/>
                <w:sz w:val="20"/>
                <w:szCs w:val="20"/>
              </w:rPr>
              <w:t>4.342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BBC820" w14:textId="77777777" w:rsidR="0041350B" w:rsidRPr="003F6245" w:rsidRDefault="00000000">
            <w:pPr>
              <w:rPr>
                <w:rFonts w:asciiTheme="minorHAnsi" w:hAnsiTheme="minorHAnsi"/>
              </w:rPr>
            </w:pPr>
            <w:r w:rsidRPr="003F6245">
              <w:rPr>
                <w:rFonts w:asciiTheme="minorHAnsi" w:hAnsiTheme="minorHAnsi"/>
                <w:sz w:val="20"/>
                <w:szCs w:val="20"/>
              </w:rPr>
              <w:t>Nur US-GAAP-Berichterstatter und Doppelt-Listungen</w:t>
            </w:r>
          </w:p>
        </w:tc>
      </w:tr>
      <w:tr w:rsidR="0041350B" w:rsidRPr="003F6245" w14:paraId="4E3397EF"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46099A" w14:textId="77777777" w:rsidR="0041350B" w:rsidRPr="003F6245" w:rsidRDefault="001E1DF3">
            <w:pPr>
              <w:rPr>
                <w:rFonts w:asciiTheme="minorHAnsi" w:hAnsiTheme="minorHAnsi"/>
              </w:rPr>
            </w:pPr>
            <w:r w:rsidRPr="003F6245">
              <w:rPr>
                <w:rFonts w:asciiTheme="minorHAnsi" w:hAnsiTheme="minorHAnsi"/>
                <w:sz w:val="20"/>
                <w:szCs w:val="20"/>
              </w:rPr>
              <w:lastRenderedPageBreak/>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EB3482" w14:textId="77777777" w:rsidR="0041350B" w:rsidRPr="003F6245" w:rsidRDefault="00000000">
            <w:pPr>
              <w:rPr>
                <w:rFonts w:asciiTheme="minorHAnsi" w:hAnsiTheme="minorHAnsi"/>
              </w:rPr>
            </w:pPr>
            <w:r w:rsidRPr="003F6245">
              <w:rPr>
                <w:rFonts w:asciiTheme="minorHAnsi" w:hAnsiTheme="minorHAnsi"/>
                <w:sz w:val="20"/>
                <w:szCs w:val="20"/>
              </w:rPr>
              <w:t>Vollständigkeitsfilter</w:t>
            </w:r>
            <w:r w:rsidRPr="003F6245">
              <w:rPr>
                <w:rFonts w:asciiTheme="minorHAnsi" w:hAnsiTheme="minorHAnsi"/>
                <w:sz w:val="20"/>
                <w:szCs w:val="20"/>
              </w:rPr>
              <w:br/>
              <w:t>(100 Quartale)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4A37B7" w14:textId="77777777" w:rsidR="0041350B" w:rsidRPr="003F6245" w:rsidRDefault="00000000">
            <w:pPr>
              <w:rPr>
                <w:rFonts w:asciiTheme="minorHAnsi" w:hAnsiTheme="minorHAnsi"/>
              </w:rPr>
            </w:pPr>
            <w:r w:rsidRPr="003F6245">
              <w:rPr>
                <w:rFonts w:asciiTheme="minorHAnsi" w:hAnsiTheme="minorHAnsi"/>
                <w:sz w:val="20"/>
                <w:szCs w:val="20"/>
              </w:rPr>
              <w:t>4.342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48552D" w14:textId="77777777" w:rsidR="0041350B" w:rsidRPr="003F6245" w:rsidRDefault="00000000">
            <w:pPr>
              <w:rPr>
                <w:rFonts w:asciiTheme="minorHAnsi" w:hAnsiTheme="minorHAnsi"/>
              </w:rPr>
            </w:pPr>
            <w:r w:rsidRPr="003F6245">
              <w:rPr>
                <w:rFonts w:asciiTheme="minorHAnsi" w:hAnsiTheme="minorHAnsi"/>
                <w:sz w:val="20"/>
                <w:szCs w:val="20"/>
              </w:rPr>
              <w:t>3.366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87632" w14:textId="77777777" w:rsidR="0041350B" w:rsidRPr="003F6245" w:rsidRDefault="00000000">
            <w:pPr>
              <w:rPr>
                <w:rFonts w:asciiTheme="minorHAnsi" w:hAnsiTheme="minorHAnsi"/>
              </w:rPr>
            </w:pPr>
            <w:r w:rsidRPr="003F6245">
              <w:rPr>
                <w:rFonts w:asciiTheme="minorHAnsi" w:hAnsiTheme="minorHAnsi"/>
                <w:sz w:val="20"/>
                <w:szCs w:val="20"/>
              </w:rPr>
              <w:t>976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DAFD48" w14:textId="77777777" w:rsidR="0041350B" w:rsidRPr="003F6245" w:rsidRDefault="00000000">
            <w:pPr>
              <w:rPr>
                <w:rFonts w:asciiTheme="minorHAnsi" w:hAnsiTheme="minorHAnsi"/>
              </w:rPr>
            </w:pPr>
            <w:r w:rsidRPr="003F6245">
              <w:rPr>
                <w:rFonts w:asciiTheme="minorHAnsi" w:hAnsiTheme="minorHAnsi"/>
                <w:sz w:val="20"/>
                <w:szCs w:val="20"/>
              </w:rPr>
              <w:t>Mindestlänge für AR-Schätzung</w:t>
            </w:r>
          </w:p>
        </w:tc>
      </w:tr>
      <w:tr w:rsidR="001E1DF3" w:rsidRPr="003F6245" w14:paraId="521E0E2C"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58916E" w14:textId="77777777" w:rsidR="001E1DF3" w:rsidRPr="003F6245" w:rsidRDefault="001E1DF3">
            <w:pPr>
              <w:rPr>
                <w:rFonts w:asciiTheme="minorHAnsi" w:hAnsiTheme="minorHAnsi"/>
                <w:sz w:val="20"/>
                <w:szCs w:val="20"/>
              </w:rPr>
            </w:pPr>
            <w:r w:rsidRPr="003F6245">
              <w:rPr>
                <w:rFonts w:asciiTheme="minorHAnsi" w:hAnsiTheme="minorHAnsi"/>
                <w:sz w:val="20"/>
                <w:szCs w:val="20"/>
              </w:rPr>
              <w:t>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CFE820" w14:textId="77777777" w:rsidR="001E1DF3" w:rsidRPr="003F6245" w:rsidRDefault="001E1DF3">
            <w:pPr>
              <w:rPr>
                <w:rFonts w:asciiTheme="minorHAnsi" w:hAnsiTheme="minorHAnsi"/>
                <w:sz w:val="20"/>
                <w:szCs w:val="20"/>
              </w:rPr>
            </w:pPr>
            <w:r w:rsidRPr="003F6245">
              <w:rPr>
                <w:rFonts w:asciiTheme="minorHAnsi" w:hAnsiTheme="minorHAnsi"/>
                <w:sz w:val="20"/>
                <w:szCs w:val="20"/>
              </w:rPr>
              <w:t>Outlier-Detection auf Rohwerten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08F230" w14:textId="77777777" w:rsidR="001E1DF3" w:rsidRPr="003F6245" w:rsidRDefault="001E1DF3">
            <w:pPr>
              <w:rPr>
                <w:rFonts w:asciiTheme="minorHAnsi" w:hAnsiTheme="minorHAnsi"/>
                <w:sz w:val="20"/>
                <w:szCs w:val="20"/>
              </w:rPr>
            </w:pPr>
            <w:r w:rsidRPr="003F6245">
              <w:rPr>
                <w:rFonts w:asciiTheme="minorHAnsi" w:hAnsiTheme="minorHAnsi"/>
                <w:sz w:val="20"/>
                <w:szCs w:val="20"/>
              </w:rPr>
              <w:t>976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3FD7C2" w14:textId="77777777" w:rsidR="001E1DF3" w:rsidRPr="003F6245" w:rsidRDefault="001E1DF3">
            <w:pPr>
              <w:rPr>
                <w:rFonts w:asciiTheme="minorHAnsi" w:hAnsiTheme="minorHAnsi"/>
                <w:sz w:val="20"/>
                <w:szCs w:val="20"/>
              </w:rPr>
            </w:pPr>
            <w:r w:rsidRPr="003F6245">
              <w:rPr>
                <w:rFonts w:asciiTheme="minorHAnsi" w:hAnsiTheme="minorHAnsi"/>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44E96A" w14:textId="77777777" w:rsidR="001E1DF3" w:rsidRPr="003F6245" w:rsidRDefault="001E1DF3">
            <w:pPr>
              <w:rPr>
                <w:rFonts w:asciiTheme="minorHAnsi" w:hAnsiTheme="minorHAnsi"/>
                <w:sz w:val="20"/>
                <w:szCs w:val="20"/>
              </w:rPr>
            </w:pPr>
            <w:r w:rsidRPr="003F6245">
              <w:rPr>
                <w:rFonts w:asciiTheme="minorHAnsi" w:hAnsiTheme="minorHAnsi"/>
                <w:sz w:val="20"/>
                <w:szCs w:val="20"/>
              </w:rPr>
              <w:t>976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BB93B3" w14:textId="77777777" w:rsidR="001E1DF3" w:rsidRPr="003F6245" w:rsidRDefault="001E1DF3">
            <w:pPr>
              <w:rPr>
                <w:rFonts w:asciiTheme="minorHAnsi" w:hAnsiTheme="minorHAnsi"/>
                <w:sz w:val="20"/>
                <w:szCs w:val="20"/>
              </w:rPr>
            </w:pPr>
            <w:r w:rsidRPr="003F6245">
              <w:rPr>
                <w:rFonts w:asciiTheme="minorHAnsi" w:hAnsiTheme="minorHAnsi"/>
                <w:sz w:val="20"/>
                <w:szCs w:val="20"/>
              </w:rPr>
              <w:t>Rolling-Window-Korrektur zur Erkennung von API-Fehlern</w:t>
            </w:r>
          </w:p>
        </w:tc>
      </w:tr>
      <w:tr w:rsidR="0041350B" w:rsidRPr="003F6245" w14:paraId="12E1FA77"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128726" w14:textId="77777777" w:rsidR="0041350B" w:rsidRPr="003F6245" w:rsidRDefault="001E1DF3">
            <w:pPr>
              <w:rPr>
                <w:rFonts w:asciiTheme="minorHAnsi" w:hAnsiTheme="minorHAnsi"/>
              </w:rPr>
            </w:pPr>
            <w:r w:rsidRPr="003F6245">
              <w:rPr>
                <w:rFonts w:asciiTheme="minorHAnsi" w:hAnsiTheme="minorHAnsi"/>
                <w:sz w:val="20"/>
                <w:szCs w:val="20"/>
              </w:rPr>
              <w:t>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D79C7C" w14:textId="77777777" w:rsidR="0041350B" w:rsidRPr="003F6245" w:rsidRDefault="00000000">
            <w:pPr>
              <w:rPr>
                <w:rFonts w:asciiTheme="minorHAnsi" w:hAnsiTheme="minorHAnsi"/>
              </w:rPr>
            </w:pPr>
            <w:r w:rsidRPr="003F6245">
              <w:rPr>
                <w:rFonts w:asciiTheme="minorHAnsi" w:hAnsiTheme="minorHAnsi"/>
                <w:sz w:val="20"/>
                <w:szCs w:val="20"/>
              </w:rPr>
              <w:t>NaN-/Qualitätsfilter</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9B3F87" w14:textId="77777777" w:rsidR="0041350B" w:rsidRPr="003F6245" w:rsidRDefault="00000000">
            <w:pPr>
              <w:rPr>
                <w:rFonts w:asciiTheme="minorHAnsi" w:hAnsiTheme="minorHAnsi"/>
              </w:rPr>
            </w:pPr>
            <w:r w:rsidRPr="003F6245">
              <w:rPr>
                <w:rFonts w:asciiTheme="minorHAnsi" w:hAnsiTheme="minorHAnsi"/>
                <w:sz w:val="20"/>
                <w:szCs w:val="20"/>
              </w:rPr>
              <w:t>976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E0E8E6" w14:textId="77777777" w:rsidR="0041350B" w:rsidRPr="003F6245" w:rsidRDefault="00000000">
            <w:pPr>
              <w:rPr>
                <w:rFonts w:asciiTheme="minorHAnsi" w:hAnsiTheme="minorHAnsi"/>
              </w:rPr>
            </w:pPr>
            <w:r w:rsidRPr="003F6245">
              <w:rPr>
                <w:rFonts w:asciiTheme="minorHAnsi" w:hAnsiTheme="minorHAnsi"/>
                <w:sz w:val="20"/>
                <w:szCs w:val="20"/>
              </w:rPr>
              <w:t>44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5384A3" w14:textId="77777777" w:rsidR="0041350B" w:rsidRPr="003F6245" w:rsidRDefault="00000000">
            <w:pPr>
              <w:rPr>
                <w:rFonts w:asciiTheme="minorHAnsi" w:hAnsiTheme="minorHAnsi"/>
              </w:rPr>
            </w:pPr>
            <w:r w:rsidRPr="003F6245">
              <w:rPr>
                <w:rFonts w:asciiTheme="minorHAnsi" w:hAnsiTheme="minorHAnsi"/>
                <w:sz w:val="20"/>
                <w:szCs w:val="20"/>
              </w:rPr>
              <w:t>932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144D30" w14:textId="77777777" w:rsidR="0041350B" w:rsidRPr="003F6245" w:rsidRDefault="001E1DF3">
            <w:pPr>
              <w:rPr>
                <w:rFonts w:asciiTheme="minorHAnsi" w:hAnsiTheme="minorHAnsi"/>
              </w:rPr>
            </w:pPr>
            <w:r w:rsidRPr="003F6245">
              <w:rPr>
                <w:rFonts w:asciiTheme="minorHAnsi" w:hAnsiTheme="minorHAnsi"/>
                <w:sz w:val="20"/>
                <w:szCs w:val="20"/>
              </w:rPr>
              <w:t>10% fehlende Quartale in Zähler &amp; Nenner-Spalten</w:t>
            </w:r>
          </w:p>
        </w:tc>
      </w:tr>
    </w:tbl>
    <w:p w14:paraId="02525A69" w14:textId="77777777" w:rsidR="00636D1B" w:rsidRPr="003F6245" w:rsidRDefault="00636D1B">
      <w:pPr>
        <w:spacing w:after="120" w:line="360" w:lineRule="auto"/>
        <w:jc w:val="both"/>
        <w:rPr>
          <w:rFonts w:asciiTheme="minorHAnsi" w:hAnsiTheme="minorHAnsi"/>
          <w:i/>
          <w:iCs/>
          <w:sz w:val="20"/>
          <w:szCs w:val="20"/>
        </w:rPr>
      </w:pPr>
    </w:p>
    <w:p w14:paraId="2C6323F2"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Der Ausschluss des Finanzsektors (Schritt 2) ist eine Standardentscheidung in der empirischen Kennzahlenforschung. Finanzinstitute unterliegen regulatorischen Eigenkapitalanforderungen, die ihre Bilanzstruktur-Kennzahlen fundamental von denen unregulierter Unternehmen unterscheiden. Die Current Ratio eines Industrieunternehmens und einer Bank messen konzeptuell verschiedene Dinge. Eine separate Analyse des Finanzsektors wird in Kapitel X als Robustheitscheck durchgeführt.</w:t>
      </w:r>
    </w:p>
    <w:p w14:paraId="7266BE6D"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Der ADR-Filter (Schritt 3) entfernt ausländische Unternehmen, die über American Depositary Receipts an US-Börsen gehandelt werden. Diese berichten häufig nach IFRS statt US-GAAP, was die Vergleichbarkeit der Kennzahlen (insbesondere bei Umsatzrealisierung und Leasingbilanzierung) beeinträchtigt. Zusätzlich werden mögliche Doppelt-Listungen so ausgeschlossen.</w:t>
      </w:r>
    </w:p>
    <w:p w14:paraId="6AA43F53" w14:textId="77777777" w:rsidR="0041350B" w:rsidRPr="003F6245" w:rsidRDefault="00000000">
      <w:pPr>
        <w:pStyle w:val="berschrift3"/>
        <w:rPr>
          <w:rFonts w:asciiTheme="minorHAnsi" w:hAnsiTheme="minorHAnsi"/>
        </w:rPr>
      </w:pPr>
      <w:r w:rsidRPr="003F6245">
        <w:rPr>
          <w:rFonts w:asciiTheme="minorHAnsi" w:hAnsiTheme="minorHAnsi"/>
        </w:rPr>
        <w:t>Survivorship Bias</w:t>
      </w:r>
    </w:p>
    <w:p w14:paraId="3A1E4A5D" w14:textId="77777777" w:rsidR="001E20B9" w:rsidRPr="003F6245" w:rsidRDefault="00000000">
      <w:pPr>
        <w:spacing w:after="120" w:line="360" w:lineRule="auto"/>
        <w:jc w:val="both"/>
        <w:rPr>
          <w:rFonts w:asciiTheme="minorHAnsi" w:hAnsiTheme="minorHAnsi"/>
        </w:rPr>
      </w:pPr>
      <w:r w:rsidRPr="003F6245">
        <w:rPr>
          <w:rFonts w:asciiTheme="minorHAnsi" w:hAnsiTheme="minorHAnsi"/>
        </w:rPr>
        <w:t>Der Vollständigkeitsfilter (Schritt 4) entfernt 77 % der Unternehmen und erzeugt damit einen substanziellen Survivorship Bias: Die verbleibenden 932 Unternehmen sind seit Q1/2000 ununterbrochen börsennotiert und berichtspflichtig. Unternehmen, die nach 2000 gegründet, gelistet, delistet, fusioniert oder insolvent wurden, sind somit nicht enthalten.</w:t>
      </w:r>
    </w:p>
    <w:p w14:paraId="3717AB40" w14:textId="77777777" w:rsidR="0041350B" w:rsidRPr="003F6245" w:rsidRDefault="001E20B9">
      <w:pPr>
        <w:spacing w:after="120" w:line="360" w:lineRule="auto"/>
        <w:jc w:val="both"/>
        <w:rPr>
          <w:rFonts w:asciiTheme="minorHAnsi" w:hAnsiTheme="minorHAnsi"/>
          <w:color w:val="EE0000"/>
        </w:rPr>
      </w:pPr>
      <w:r w:rsidRPr="003F6245">
        <w:rPr>
          <w:rFonts w:asciiTheme="minorHAnsi" w:hAnsiTheme="minorHAnsi"/>
        </w:rPr>
        <w:t xml:space="preserve">Dieser Bias ist methodisch unvermeidbar für Panelanalysen, die vollständige Zeitreihen voraussetzen, wird jedoch durch eine Robustheitsanalyse mit reduzierten Vollständigkeitsschwellen adressiert (Abschnitt X): Bei 80 Quartalen umfasst die Stichprobe 1.231, bei 60 Quartalen 1.855 und bei 40 Quartalen 2.356 Unternehmen. </w:t>
      </w:r>
      <w:r w:rsidRPr="003F6245">
        <w:rPr>
          <w:rFonts w:asciiTheme="minorHAnsi" w:hAnsiTheme="minorHAnsi"/>
          <w:color w:val="EE0000"/>
        </w:rPr>
        <w:t xml:space="preserve">Die φ₁-Mediane für Profitabilitätskennzahlen und Liquiditätskennzahlen bleiben dabei mit Abweichungen unter 3 % stabil. Kapitalstruktur-Kennzahlen zeigen bei absolut niedrigen φ₁-Werten relativ größere Schwankungen, ohne dass sich die </w:t>
      </w:r>
      <w:r w:rsidRPr="003F6245">
        <w:rPr>
          <w:rFonts w:asciiTheme="minorHAnsi" w:hAnsiTheme="minorHAnsi"/>
          <w:color w:val="EE0000"/>
        </w:rPr>
        <w:lastRenderedPageBreak/>
        <w:t>qualitative Einordnung (schwache Mean-Reversion) ändert. Die Kernbefunde sind somit kein Artefakt der Stichprobenselektion.</w:t>
      </w:r>
    </w:p>
    <w:p w14:paraId="22118B72" w14:textId="77777777" w:rsidR="0041421C" w:rsidRPr="003F6245" w:rsidRDefault="0041421C">
      <w:pPr>
        <w:spacing w:after="120" w:line="360" w:lineRule="auto"/>
        <w:jc w:val="both"/>
        <w:rPr>
          <w:rFonts w:asciiTheme="minorHAnsi" w:hAnsiTheme="minorHAnsi"/>
        </w:rPr>
      </w:pPr>
      <w:r w:rsidRPr="003F6245">
        <w:rPr>
          <w:rFonts w:asciiTheme="minorHAnsi" w:hAnsiTheme="minorHAnsi"/>
          <w:noProof/>
        </w:rPr>
        <w:drawing>
          <wp:inline distT="0" distB="0" distL="0" distR="0" wp14:anchorId="7B9F1181" wp14:editId="5410309C">
            <wp:extent cx="2784764" cy="1347394"/>
            <wp:effectExtent l="0" t="0" r="0" b="0"/>
            <wp:docPr id="4557260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26020" name=""/>
                    <pic:cNvPicPr/>
                  </pic:nvPicPr>
                  <pic:blipFill>
                    <a:blip r:embed="rId7"/>
                    <a:stretch>
                      <a:fillRect/>
                    </a:stretch>
                  </pic:blipFill>
                  <pic:spPr>
                    <a:xfrm>
                      <a:off x="0" y="0"/>
                      <a:ext cx="2798787" cy="1354179"/>
                    </a:xfrm>
                    <a:prstGeom prst="rect">
                      <a:avLst/>
                    </a:prstGeom>
                  </pic:spPr>
                </pic:pic>
              </a:graphicData>
            </a:graphic>
          </wp:inline>
        </w:drawing>
      </w:r>
    </w:p>
    <w:p w14:paraId="161F5C0C" w14:textId="77777777" w:rsidR="006055B3" w:rsidRPr="003F6245" w:rsidRDefault="006055B3">
      <w:pPr>
        <w:spacing w:after="120" w:line="360" w:lineRule="auto"/>
        <w:jc w:val="both"/>
        <w:rPr>
          <w:rFonts w:asciiTheme="minorHAnsi" w:hAnsiTheme="minorHAnsi"/>
        </w:rPr>
      </w:pPr>
    </w:p>
    <w:p w14:paraId="4C1B04B6" w14:textId="77777777" w:rsidR="0041350B" w:rsidRPr="003F6245" w:rsidRDefault="00000000">
      <w:pPr>
        <w:pStyle w:val="berschrift3"/>
        <w:rPr>
          <w:rFonts w:asciiTheme="minorHAnsi" w:hAnsiTheme="minorHAnsi"/>
        </w:rPr>
      </w:pPr>
      <w:r w:rsidRPr="003F6245">
        <w:rPr>
          <w:rFonts w:asciiTheme="minorHAnsi" w:hAnsiTheme="minorHAnsi"/>
        </w:rPr>
        <w:t>Datenaufbereitung und Outlier-Behandlung</w:t>
      </w:r>
    </w:p>
    <w:p w14:paraId="4390977A" w14:textId="77777777" w:rsidR="006055B3" w:rsidRPr="003F6245" w:rsidRDefault="006055B3" w:rsidP="006055B3">
      <w:pPr>
        <w:spacing w:after="120" w:line="360" w:lineRule="auto"/>
        <w:jc w:val="both"/>
        <w:rPr>
          <w:rFonts w:asciiTheme="minorHAnsi" w:hAnsiTheme="minorHAnsi"/>
        </w:rPr>
      </w:pPr>
      <w:r w:rsidRPr="003F6245">
        <w:rPr>
          <w:rFonts w:asciiTheme="minorHAnsi" w:hAnsiTheme="minorHAnsi"/>
        </w:rPr>
        <w:t>Die sieben Finanzkennzahlen werden direkt aus den Quartalsberichten berechnet: ROA (Nettoergebnis/Bilanzsumme), ROE (Nettoergebnis/Eigenkapital), EBIT-Marge (EBIT/Umsatz), FCF-Marge (Free Cashflow/Umsatz), Current Ratio (Umlaufvermögen/kurzfristige Verbindlichkeiten), Debt-to-Equity (Fremdkapital/Eigenkapital) und Eigenkapitalquote (Eigenkapital/Bilanzsumme).</w:t>
      </w:r>
    </w:p>
    <w:p w14:paraId="1D10099A" w14:textId="77777777" w:rsidR="00EC0331" w:rsidRPr="003F6245" w:rsidRDefault="006055B3" w:rsidP="00EC0331">
      <w:pPr>
        <w:spacing w:after="120" w:line="360" w:lineRule="auto"/>
        <w:jc w:val="both"/>
        <w:rPr>
          <w:rFonts w:asciiTheme="minorHAnsi" w:hAnsiTheme="minorHAnsi"/>
        </w:rPr>
      </w:pPr>
      <w:r w:rsidRPr="003F6245">
        <w:rPr>
          <w:rFonts w:asciiTheme="minorHAnsi" w:hAnsiTheme="minorHAnsi"/>
        </w:rPr>
        <w:t>Die Ausreißerbehandlung erfolgt in zwei Stufen, wobei die erste auf Rohwerten und die zweite auf den daraus berechneten Kennzahlen operiert. Zunächst identifiziert ein rollierender Fensterfilter (Fenstergröße 8 Quartale) kontextabhängig unplausible Einzelwerte in den Bilanzpositionen, etwa wenn ein Nettoergebnis in einem Quartal isoliert um ein Vielfaches vom umgebenden Niveau abweicht. Ein Wert wird nur dann korrigiert, wenn er von mindestens drei überlappenden Fenstern als Ausreißer „geflagt" wird, der Abweichungsfaktor zum Korrekturwert mindestens 5 beträgt, und eine Stichprobenprüfung das Ereignis nicht als reales Geschäftsereignis identifiziert hat. Korrigierte Werte werden durch den Median der umgebenden Fenster-Mediane ersetzt. Anschließend werden die aus den bereinigten Rohwerten berechneten Kennzahlen querschnittlich auf dem 1. und 99. Perzentil winsorisiert, um Extremratios durch nahe-Null-Nenner zu begrenzen.</w:t>
      </w:r>
    </w:p>
    <w:p w14:paraId="0B4D0A1A" w14:textId="77777777" w:rsidR="00EC0331" w:rsidRPr="003F6245" w:rsidRDefault="00EC0331" w:rsidP="00EC0331">
      <w:pPr>
        <w:spacing w:after="120" w:line="360" w:lineRule="auto"/>
        <w:jc w:val="both"/>
        <w:rPr>
          <w:rFonts w:asciiTheme="minorHAnsi" w:hAnsiTheme="minorHAnsi"/>
        </w:rPr>
      </w:pPr>
      <w:r w:rsidRPr="003F6245">
        <w:rPr>
          <w:rFonts w:asciiTheme="minorHAnsi" w:hAnsiTheme="minorHAnsi"/>
        </w:rPr>
        <w:t xml:space="preserve">Kennzahlen mit Nulldivisor (negatives oder verschwindendes Eigenkapital bei ROE und Debt-to-Equity) werden als fehlend klassifiziert. Im abschließenden Qualitätsfilter (Schritt 6) werden Unternehmen entfernt, bei denen eine Zähler- oder Nenner-Spalte mehr als 10% fehlende Quartale aufweist. Für Nenner-Spalten zählen </w:t>
      </w:r>
      <w:r w:rsidRPr="003F6245">
        <w:rPr>
          <w:rFonts w:asciiTheme="minorHAnsi" w:hAnsiTheme="minorHAnsi"/>
        </w:rPr>
        <w:lastRenderedPageBreak/>
        <w:t>dabei sowohl „NaN“ als auch 0-Werte als fehlend, da beide eine undefinierte Kennzahl erzeugen. Für Zähler-Spalten zählt nur NaN, da ein Zähler von Null ökonomisch valide ist. Das resultierende Panel umfasst 932 Unternehmen mit je 100 Quartalswerten (ggf. bis zu 10 fehlende Werte) für sieben Kennzahlen.</w:t>
      </w:r>
    </w:p>
    <w:p w14:paraId="258940EB" w14:textId="77777777" w:rsidR="0041350B" w:rsidRPr="003F6245" w:rsidRDefault="00EC0331" w:rsidP="00EC0331">
      <w:pPr>
        <w:spacing w:after="120" w:line="360" w:lineRule="auto"/>
        <w:jc w:val="both"/>
        <w:rPr>
          <w:rFonts w:asciiTheme="minorHAnsi" w:hAnsiTheme="minorHAnsi"/>
        </w:rPr>
      </w:pPr>
      <w:r w:rsidRPr="003F6245">
        <w:rPr>
          <w:rFonts w:asciiTheme="minorHAnsi" w:hAnsiTheme="minorHAnsi"/>
        </w:rPr>
        <w:t>Die Wahl der Winsorisierung auf dem 1./99.-Perzentil folgt der Standardpraxis in der Accounting-Forschung (Leone, Minutti-Meza &amp; Wasley, 2019). Adams et al. (2019) weisen darauf hin, dass univariate Winsorisierung allein einflussreiche Beobachtungen nicht vollständig adressiert. Diesem Einwand trägt der vorgeschaltete rollierende Fensterfilter Rechnung, der kontextsensitiv auf Einzelzeitreihen arbeitet und nicht nur globale Verteilungsgrenzen anlegt.</w:t>
      </w:r>
    </w:p>
    <w:p w14:paraId="1D8C3710" w14:textId="77777777" w:rsidR="0041350B" w:rsidRPr="003F6245" w:rsidRDefault="00000000">
      <w:pPr>
        <w:rPr>
          <w:rFonts w:asciiTheme="minorHAnsi" w:hAnsiTheme="minorHAnsi"/>
        </w:rPr>
      </w:pPr>
      <w:r w:rsidRPr="003F6245">
        <w:rPr>
          <w:rFonts w:asciiTheme="minorHAnsi" w:hAnsiTheme="minorHAnsi"/>
        </w:rPr>
        <w:br w:type="page"/>
      </w:r>
    </w:p>
    <w:p w14:paraId="2729236D" w14:textId="77777777" w:rsidR="0041350B" w:rsidRPr="003F6245" w:rsidRDefault="00000000">
      <w:pPr>
        <w:pStyle w:val="berschrift2"/>
        <w:rPr>
          <w:rFonts w:asciiTheme="minorHAnsi" w:hAnsiTheme="minorHAnsi"/>
        </w:rPr>
      </w:pPr>
      <w:r w:rsidRPr="003F6245">
        <w:rPr>
          <w:rFonts w:asciiTheme="minorHAnsi" w:hAnsiTheme="minorHAnsi"/>
        </w:rPr>
        <w:lastRenderedPageBreak/>
        <w:t>4.2 Modellspezifikation: AR(1) auf ersten Differenzen</w:t>
      </w:r>
    </w:p>
    <w:p w14:paraId="7040D26E"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Die zentrale Forschungsfrage FF1 fragt nach systematischen Unterschieden im quartalsweisen Veränderungsdynamik von Finanzkennzahlen. Diese Formulierung legt bereits die abhängige Variable nahe: Nicht das Niveau einer Kennzahl, sondern deren Veränderung von Quartal zu Quartal steht im Fokus. Die folgenden Schritte beschreiben die Modellspezifikation, die Begründung der Modellwahl und das Robustheitsdesign folgen in Abschnitt 4.4.</w:t>
      </w:r>
    </w:p>
    <w:p w14:paraId="01D5AAE5" w14:textId="77777777" w:rsidR="0041350B" w:rsidRPr="003F6245" w:rsidRDefault="00000000">
      <w:pPr>
        <w:pStyle w:val="berschrift3"/>
        <w:rPr>
          <w:rFonts w:asciiTheme="minorHAnsi" w:hAnsiTheme="minorHAnsi"/>
        </w:rPr>
      </w:pPr>
      <w:r w:rsidRPr="003F6245">
        <w:rPr>
          <w:rFonts w:asciiTheme="minorHAnsi" w:hAnsiTheme="minorHAnsi"/>
        </w:rPr>
        <w:t>Schritt 1: Erste Differenzen als Transformation</w:t>
      </w:r>
    </w:p>
    <w:p w14:paraId="7D09BA13"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Für jedes Unternehmen i und jede Kennzahl k wird die erste Differenz gebildet:</w:t>
      </w:r>
    </w:p>
    <w:p w14:paraId="79347585" w14:textId="77777777" w:rsidR="0041350B" w:rsidRPr="003F6245" w:rsidRDefault="00000000">
      <w:pPr>
        <w:spacing w:before="200" w:after="200" w:line="360" w:lineRule="auto"/>
        <w:jc w:val="center"/>
        <w:rPr>
          <w:rFonts w:asciiTheme="minorHAnsi" w:hAnsiTheme="minorHAnsi"/>
        </w:rPr>
      </w:pPr>
      <w:r w:rsidRPr="003F6245">
        <w:rPr>
          <w:rFonts w:asciiTheme="minorHAnsi" w:eastAsia="Cambria Math" w:hAnsiTheme="minorHAnsi" w:cs="Cambria Math"/>
          <w:i/>
          <w:iCs/>
        </w:rPr>
        <w:t>ΔY</w:t>
      </w:r>
      <w:r w:rsidRPr="003F6245">
        <w:rPr>
          <w:rFonts w:ascii="Arial" w:eastAsia="Cambria Math" w:hAnsi="Arial" w:cs="Arial"/>
          <w:i/>
          <w:iCs/>
        </w:rPr>
        <w:t>ᵢ</w:t>
      </w:r>
      <w:r w:rsidRPr="003F6245">
        <w:rPr>
          <w:rFonts w:ascii="Segoe UI Symbol" w:eastAsia="Cambria Math" w:hAnsi="Segoe UI Symbol" w:cs="Segoe UI Symbol"/>
          <w:i/>
          <w:iCs/>
        </w:rPr>
        <w:t>ₖ</w:t>
      </w:r>
      <w:r w:rsidRPr="003F6245">
        <w:rPr>
          <w:rFonts w:asciiTheme="minorHAnsi" w:eastAsia="Cambria Math" w:hAnsiTheme="minorHAnsi" w:cs="Cambria Math"/>
          <w:i/>
          <w:iCs/>
        </w:rPr>
        <w:t>(t) = Y</w:t>
      </w:r>
      <w:r w:rsidRPr="003F6245">
        <w:rPr>
          <w:rFonts w:ascii="Arial" w:eastAsia="Cambria Math" w:hAnsi="Arial" w:cs="Arial"/>
          <w:i/>
          <w:iCs/>
        </w:rPr>
        <w:t>ᵢ</w:t>
      </w:r>
      <w:r w:rsidRPr="003F6245">
        <w:rPr>
          <w:rFonts w:ascii="Segoe UI Symbol" w:eastAsia="Cambria Math" w:hAnsi="Segoe UI Symbol" w:cs="Segoe UI Symbol"/>
          <w:i/>
          <w:iCs/>
        </w:rPr>
        <w:t>ₖ</w:t>
      </w:r>
      <w:r w:rsidRPr="003F6245">
        <w:rPr>
          <w:rFonts w:asciiTheme="minorHAnsi" w:eastAsia="Cambria Math" w:hAnsiTheme="minorHAnsi" w:cs="Cambria Math"/>
          <w:i/>
          <w:iCs/>
        </w:rPr>
        <w:t>(t) − Y</w:t>
      </w:r>
      <w:r w:rsidRPr="003F6245">
        <w:rPr>
          <w:rFonts w:ascii="Arial" w:eastAsia="Cambria Math" w:hAnsi="Arial" w:cs="Arial"/>
          <w:i/>
          <w:iCs/>
        </w:rPr>
        <w:t>ᵢ</w:t>
      </w:r>
      <w:r w:rsidRPr="003F6245">
        <w:rPr>
          <w:rFonts w:ascii="Segoe UI Symbol" w:eastAsia="Cambria Math" w:hAnsi="Segoe UI Symbol" w:cs="Segoe UI Symbol"/>
          <w:i/>
          <w:iCs/>
        </w:rPr>
        <w:t>ₖ</w:t>
      </w:r>
      <w:r w:rsidRPr="003F6245">
        <w:rPr>
          <w:rFonts w:asciiTheme="minorHAnsi" w:eastAsia="Cambria Math" w:hAnsiTheme="minorHAnsi" w:cs="Cambria Math"/>
          <w:i/>
          <w:iCs/>
        </w:rPr>
        <w:t>(t−1)</w:t>
      </w:r>
    </w:p>
    <w:p w14:paraId="6C8D616E"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wobei Y</w:t>
      </w:r>
      <w:r w:rsidRPr="003F6245">
        <w:rPr>
          <w:rFonts w:ascii="Arial" w:hAnsi="Arial" w:cs="Arial"/>
        </w:rPr>
        <w:t>ᵢ</w:t>
      </w:r>
      <w:r w:rsidRPr="003F6245">
        <w:rPr>
          <w:rFonts w:ascii="Segoe UI Symbol" w:hAnsi="Segoe UI Symbol" w:cs="Segoe UI Symbol"/>
        </w:rPr>
        <w:t>ₖ</w:t>
      </w:r>
      <w:r w:rsidRPr="003F6245">
        <w:rPr>
          <w:rFonts w:asciiTheme="minorHAnsi" w:hAnsiTheme="minorHAnsi"/>
        </w:rPr>
        <w:t>(t) den Wert der Kennzahl k für Unternehmen i im Quartal t bezeichnet. Diese Transformation hat drei Vorteile. Erstens hat ΔY eine direkte ökonomische Interpretation: Der ROA eines Unternehmens hat sich in diesem Quartal um x Prozentpunkte verändert. Zweitens fördert die Differenzenbildung Stationarität, ohne Annahmen über die Integrationsordnung der Niveaus treffen zu müssen - eine relevante Eigenschaft, da insbesondere Kapitalstruktur-Kennzahlen potenziell einheitswurzel-nah sind, eine Integrationsordnung von I(2) oder höher für Finanzkennzahlen jedoch ökonomisch nicht plausibel ist. Drittens argumentieren Fairfield und Yohn (2001), dass Veränderungen in Profitabilitätskomponenten informativer für die Prognose zukünftiger Profitabilität sind als deren Niveaus. Eine Einschränkung der ersten Differenzen besteht darin, dass saisonale Muster in Quartalskennzahlen (etwa höhere Q4-Umsätze im Einzelhandel) nicht eliminiert werden. Dieser Aspekt wird in Abschnitt X über saisonale Differenzen (Δ₄Y) als Robustheitscheck adressiert.</w:t>
      </w:r>
    </w:p>
    <w:p w14:paraId="06DFAB61" w14:textId="77777777" w:rsidR="0041350B" w:rsidRPr="003F6245" w:rsidRDefault="00000000">
      <w:pPr>
        <w:pStyle w:val="berschrift3"/>
        <w:rPr>
          <w:rFonts w:asciiTheme="minorHAnsi" w:hAnsiTheme="minorHAnsi"/>
        </w:rPr>
      </w:pPr>
      <w:r w:rsidRPr="003F6245">
        <w:rPr>
          <w:rFonts w:asciiTheme="minorHAnsi" w:hAnsiTheme="minorHAnsi"/>
        </w:rPr>
        <w:t>Schritt 2: Das AR(1)-Modell</w:t>
      </w:r>
    </w:p>
    <w:p w14:paraId="4DBE69CD"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Auf die differenzierten Zeitreihen wird ein autoregressives Modell erster Ordnung geschätzt:</w:t>
      </w:r>
    </w:p>
    <w:p w14:paraId="1CEDB4D7" w14:textId="77777777" w:rsidR="0041350B" w:rsidRPr="003F6245" w:rsidRDefault="00000000">
      <w:pPr>
        <w:spacing w:before="200" w:after="200" w:line="360" w:lineRule="auto"/>
        <w:jc w:val="center"/>
        <w:rPr>
          <w:rFonts w:asciiTheme="minorHAnsi" w:hAnsiTheme="minorHAnsi"/>
        </w:rPr>
      </w:pPr>
      <w:r w:rsidRPr="003F6245">
        <w:rPr>
          <w:rFonts w:asciiTheme="minorHAnsi" w:eastAsia="Cambria Math" w:hAnsiTheme="minorHAnsi" w:cs="Cambria Math"/>
          <w:i/>
          <w:iCs/>
        </w:rPr>
        <w:t>ΔY</w:t>
      </w:r>
      <w:r w:rsidRPr="003F6245">
        <w:rPr>
          <w:rFonts w:ascii="Arial" w:eastAsia="Cambria Math" w:hAnsi="Arial" w:cs="Arial"/>
          <w:i/>
          <w:iCs/>
        </w:rPr>
        <w:t>ᵢ</w:t>
      </w:r>
      <w:r w:rsidRPr="003F6245">
        <w:rPr>
          <w:rFonts w:ascii="Segoe UI Symbol" w:eastAsia="Cambria Math" w:hAnsi="Segoe UI Symbol" w:cs="Segoe UI Symbol"/>
          <w:i/>
          <w:iCs/>
        </w:rPr>
        <w:t>ₖ</w:t>
      </w:r>
      <w:r w:rsidRPr="003F6245">
        <w:rPr>
          <w:rFonts w:asciiTheme="minorHAnsi" w:eastAsia="Cambria Math" w:hAnsiTheme="minorHAnsi" w:cs="Cambria Math"/>
          <w:i/>
          <w:iCs/>
        </w:rPr>
        <w:t>(t) = c</w:t>
      </w:r>
      <w:r w:rsidRPr="003F6245">
        <w:rPr>
          <w:rFonts w:ascii="Arial" w:eastAsia="Cambria Math" w:hAnsi="Arial" w:cs="Arial"/>
          <w:i/>
          <w:iCs/>
        </w:rPr>
        <w:t>ᵢ</w:t>
      </w:r>
      <w:r w:rsidRPr="003F6245">
        <w:rPr>
          <w:rFonts w:ascii="Segoe UI Symbol" w:eastAsia="Cambria Math" w:hAnsi="Segoe UI Symbol" w:cs="Segoe UI Symbol"/>
          <w:i/>
          <w:iCs/>
        </w:rPr>
        <w:t>ₖ</w:t>
      </w:r>
      <w:r w:rsidRPr="003F6245">
        <w:rPr>
          <w:rFonts w:asciiTheme="minorHAnsi" w:eastAsia="Cambria Math" w:hAnsiTheme="minorHAnsi" w:cs="Cambria Math"/>
          <w:i/>
          <w:iCs/>
        </w:rPr>
        <w:t xml:space="preserve"> + φ₁,</w:t>
      </w:r>
      <w:r w:rsidRPr="003F6245">
        <w:rPr>
          <w:rFonts w:ascii="Arial" w:eastAsia="Cambria Math" w:hAnsi="Arial" w:cs="Arial"/>
          <w:i/>
          <w:iCs/>
        </w:rPr>
        <w:t>ᵢ</w:t>
      </w:r>
      <w:r w:rsidRPr="003F6245">
        <w:rPr>
          <w:rFonts w:ascii="Segoe UI Symbol" w:eastAsia="Cambria Math" w:hAnsi="Segoe UI Symbol" w:cs="Segoe UI Symbol"/>
          <w:i/>
          <w:iCs/>
        </w:rPr>
        <w:t>ₖ</w:t>
      </w:r>
      <w:r w:rsidRPr="003F6245">
        <w:rPr>
          <w:rFonts w:asciiTheme="minorHAnsi" w:eastAsia="Cambria Math" w:hAnsiTheme="minorHAnsi" w:cs="Cambria Math"/>
          <w:i/>
          <w:iCs/>
        </w:rPr>
        <w:t xml:space="preserve"> · ΔY</w:t>
      </w:r>
      <w:r w:rsidRPr="003F6245">
        <w:rPr>
          <w:rFonts w:ascii="Arial" w:eastAsia="Cambria Math" w:hAnsi="Arial" w:cs="Arial"/>
          <w:i/>
          <w:iCs/>
        </w:rPr>
        <w:t>ᵢ</w:t>
      </w:r>
      <w:r w:rsidRPr="003F6245">
        <w:rPr>
          <w:rFonts w:ascii="Segoe UI Symbol" w:eastAsia="Cambria Math" w:hAnsi="Segoe UI Symbol" w:cs="Segoe UI Symbol"/>
          <w:i/>
          <w:iCs/>
        </w:rPr>
        <w:t>ₖ</w:t>
      </w:r>
      <w:r w:rsidRPr="003F6245">
        <w:rPr>
          <w:rFonts w:asciiTheme="minorHAnsi" w:eastAsia="Cambria Math" w:hAnsiTheme="minorHAnsi" w:cs="Cambria Math"/>
          <w:i/>
          <w:iCs/>
        </w:rPr>
        <w:t>(t−1) + ε</w:t>
      </w:r>
      <w:r w:rsidRPr="003F6245">
        <w:rPr>
          <w:rFonts w:ascii="Arial" w:eastAsia="Cambria Math" w:hAnsi="Arial" w:cs="Arial"/>
          <w:i/>
          <w:iCs/>
        </w:rPr>
        <w:t>ᵢ</w:t>
      </w:r>
      <w:r w:rsidRPr="003F6245">
        <w:rPr>
          <w:rFonts w:ascii="Segoe UI Symbol" w:eastAsia="Cambria Math" w:hAnsi="Segoe UI Symbol" w:cs="Segoe UI Symbol"/>
          <w:i/>
          <w:iCs/>
        </w:rPr>
        <w:t>ₖ</w:t>
      </w:r>
      <w:r w:rsidRPr="003F6245">
        <w:rPr>
          <w:rFonts w:asciiTheme="minorHAnsi" w:eastAsia="Cambria Math" w:hAnsiTheme="minorHAnsi" w:cs="Cambria Math"/>
          <w:i/>
          <w:iCs/>
        </w:rPr>
        <w:t>(t)</w:t>
      </w:r>
    </w:p>
    <w:p w14:paraId="663F6E00"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lastRenderedPageBreak/>
        <w:t>mit c</w:t>
      </w:r>
      <w:r w:rsidRPr="003F6245">
        <w:rPr>
          <w:rFonts w:ascii="Arial" w:hAnsi="Arial" w:cs="Arial"/>
        </w:rPr>
        <w:t>ᵢ</w:t>
      </w:r>
      <w:r w:rsidRPr="003F6245">
        <w:rPr>
          <w:rFonts w:ascii="Segoe UI Symbol" w:hAnsi="Segoe UI Symbol" w:cs="Segoe UI Symbol"/>
        </w:rPr>
        <w:t>ₖ</w:t>
      </w:r>
      <w:r w:rsidRPr="003F6245">
        <w:rPr>
          <w:rFonts w:asciiTheme="minorHAnsi" w:hAnsiTheme="minorHAnsi"/>
        </w:rPr>
        <w:t xml:space="preserve"> als Drift-Konstante, φ₁,</w:t>
      </w:r>
      <w:r w:rsidRPr="003F6245">
        <w:rPr>
          <w:rFonts w:ascii="Arial" w:hAnsi="Arial" w:cs="Arial"/>
        </w:rPr>
        <w:t>ᵢ</w:t>
      </w:r>
      <w:r w:rsidRPr="003F6245">
        <w:rPr>
          <w:rFonts w:ascii="Segoe UI Symbol" w:hAnsi="Segoe UI Symbol" w:cs="Segoe UI Symbol"/>
        </w:rPr>
        <w:t>ₖ</w:t>
      </w:r>
      <w:r w:rsidRPr="003F6245">
        <w:rPr>
          <w:rFonts w:asciiTheme="minorHAnsi" w:hAnsiTheme="minorHAnsi"/>
        </w:rPr>
        <w:t xml:space="preserve"> als Autokorrelationskoeffizient der Veränderungen und ε</w:t>
      </w:r>
      <w:r w:rsidRPr="003F6245">
        <w:rPr>
          <w:rFonts w:ascii="Arial" w:hAnsi="Arial" w:cs="Arial"/>
        </w:rPr>
        <w:t>ᵢ</w:t>
      </w:r>
      <w:r w:rsidRPr="003F6245">
        <w:rPr>
          <w:rFonts w:ascii="Segoe UI Symbol" w:hAnsi="Segoe UI Symbol" w:cs="Segoe UI Symbol"/>
        </w:rPr>
        <w:t>ₖ</w:t>
      </w:r>
      <w:r w:rsidRPr="003F6245">
        <w:rPr>
          <w:rFonts w:asciiTheme="minorHAnsi" w:hAnsiTheme="minorHAnsi"/>
        </w:rPr>
        <w:t>(t) ~ WN(0, σ²) als White-Noise-Fehlerterm. Die Schätzung liefert zwei Größen, die jedes Unternehmen-Kennzahl-Paar in einem zweidimensionalen Merkmalsraum verorten:</w:t>
      </w:r>
    </w:p>
    <w:p w14:paraId="2A6BE44C" w14:textId="77777777" w:rsidR="0041350B" w:rsidRPr="003F6245" w:rsidRDefault="00000000">
      <w:pPr>
        <w:spacing w:after="120" w:line="360" w:lineRule="auto"/>
        <w:jc w:val="both"/>
        <w:rPr>
          <w:rFonts w:asciiTheme="minorHAnsi" w:hAnsiTheme="minorHAnsi"/>
        </w:rPr>
      </w:pPr>
      <w:r w:rsidRPr="003F6245">
        <w:rPr>
          <w:rFonts w:asciiTheme="minorHAnsi" w:hAnsiTheme="minorHAnsi"/>
          <w:b/>
          <w:bCs/>
        </w:rPr>
        <w:t>φ₁ (Mean-Reversion-Koeffizient):</w:t>
      </w:r>
      <w:r w:rsidRPr="003F6245">
        <w:rPr>
          <w:rFonts w:asciiTheme="minorHAnsi" w:hAnsiTheme="minorHAnsi"/>
        </w:rPr>
        <w:t xml:space="preserve"> Ein negatives φ₁ bedeutet, dass eine überdurchschnittliche Veränderung in Quartal t−1 im Folgequartal teilweise rückgängig gemacht wird. Bei φ₁ = −0,43 (Median für ROA) werden 43 % einer Quartalsveränderung im Folgequartal korrigiert. Ein φ₁ nahe null bedeutet, dass aufeinanderfolgende Veränderungen unkorreliert sind — das Modell hat keine Vorhersagekraft.</w:t>
      </w:r>
    </w:p>
    <w:p w14:paraId="0821F97A" w14:textId="77777777" w:rsidR="0041350B" w:rsidRPr="003F6245" w:rsidRDefault="00000000">
      <w:pPr>
        <w:spacing w:after="120" w:line="360" w:lineRule="auto"/>
        <w:jc w:val="both"/>
        <w:rPr>
          <w:rFonts w:asciiTheme="minorHAnsi" w:hAnsiTheme="minorHAnsi"/>
        </w:rPr>
      </w:pPr>
      <w:r w:rsidRPr="003F6245">
        <w:rPr>
          <w:rFonts w:asciiTheme="minorHAnsi" w:hAnsiTheme="minorHAnsi"/>
          <w:b/>
          <w:bCs/>
        </w:rPr>
        <w:t>σ(ΔY) (Veränderungsvolatilität):</w:t>
      </w:r>
      <w:r w:rsidRPr="003F6245">
        <w:rPr>
          <w:rFonts w:asciiTheme="minorHAnsi" w:hAnsiTheme="minorHAnsi"/>
        </w:rPr>
        <w:t xml:space="preserve"> Die Standardabweichung der ersten Differenzen misst, wie stark eine Kennzahl typischerweise von Quartal zu Quartal schwankt. Diese Größe ist die Standardabweichung der gesamten transformierten Reihe ΔY, nicht die Residualvolatilität des AR-Modells.</w:t>
      </w:r>
    </w:p>
    <w:p w14:paraId="1A6C63D6" w14:textId="77777777" w:rsidR="0041350B" w:rsidRPr="003F6245" w:rsidRDefault="00000000">
      <w:pPr>
        <w:pStyle w:val="berschrift3"/>
        <w:rPr>
          <w:rFonts w:asciiTheme="minorHAnsi" w:hAnsiTheme="minorHAnsi"/>
        </w:rPr>
      </w:pPr>
      <w:r w:rsidRPr="003F6245">
        <w:rPr>
          <w:rFonts w:asciiTheme="minorHAnsi" w:hAnsiTheme="minorHAnsi"/>
        </w:rPr>
        <w:t>Schritt 3: Individuelle Schätzung per OLS</w:t>
      </w:r>
    </w:p>
    <w:p w14:paraId="4B3ECA27"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 xml:space="preserve">Eine zentrale Designentscheidung ist die individuelle Schätzung per OLS für jede Unternehmen-Kennzahl-Kombination. Die Analyse umfasst </w:t>
      </w:r>
      <w:r w:rsidRPr="003F6245">
        <w:rPr>
          <w:rFonts w:asciiTheme="minorHAnsi" w:hAnsiTheme="minorHAnsi"/>
          <w:color w:val="EE0000"/>
        </w:rPr>
        <w:t xml:space="preserve">932 × 7 = 6.524 </w:t>
      </w:r>
      <w:r w:rsidRPr="003F6245">
        <w:rPr>
          <w:rFonts w:asciiTheme="minorHAnsi" w:hAnsiTheme="minorHAnsi"/>
        </w:rPr>
        <w:t>separate Regressionen. Der Verzicht auf gepoolte Panel-Regression ist methodisch begründet: Pesaran und Smith (1995) zeigen, dass gepoolte Schätzer inkonsistent sind, wenn die Slope-Koeffizienten zwischen den Einheiten variieren. Da die vorliegende Arbeit gerade die Heterogenität der φ₁-Koeffizienten zwischen Unternehmen als Forschungsgegenstand hat, wäre eine Panel-Regression, die einen einheitlichen φ₁ unterstellt, inhaltlich kontraproduktiv.</w:t>
      </w:r>
    </w:p>
    <w:p w14:paraId="42DE29F6"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Pesaran und Yang (2024) bestätigen diesen Befund spezifisch für heterogene AR(1)-Modelle in Kurzzeit-Panels: GMM-Schätzer unter der Annahme homogener Slopes sind verzerrt, wenn die wahren AR-Koeffizienten heterogen sind. Der von Pesaran und Smith (1995) vorgeschlagene Mean-Group-Estimator — individuelle OLS-Schätzung mit anschließender Mittelung der Koeffizienten — liefert konsistente Ergebnisse und entspricht exakt dem Design dieser Arbeit.</w:t>
      </w:r>
    </w:p>
    <w:p w14:paraId="5FFC9C81"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lastRenderedPageBreak/>
        <w:t xml:space="preserve">Mit </w:t>
      </w:r>
      <w:r w:rsidRPr="003F6245">
        <w:rPr>
          <w:rFonts w:asciiTheme="minorHAnsi" w:hAnsiTheme="minorHAnsi"/>
          <w:color w:val="EE0000"/>
        </w:rPr>
        <w:t>T = 99 (oder 98)</w:t>
      </w:r>
      <w:r w:rsidRPr="003F6245">
        <w:rPr>
          <w:rFonts w:asciiTheme="minorHAnsi" w:hAnsiTheme="minorHAnsi"/>
        </w:rPr>
        <w:t xml:space="preserve"> Beobachtungen pro Zeitreihe (100 Quartale minus ein Lag) ist die Zeitdimension ausreichend für stabile OLS-Schätzungen. Signifikanz wird über t-Tests auf φ₁ ≠ 0 geprüft (p &lt; 0,05), und R² dient als Maß für die individuelle Modellgüte.</w:t>
      </w:r>
    </w:p>
    <w:p w14:paraId="790CEE68" w14:textId="77777777" w:rsidR="0041350B" w:rsidRPr="003F6245" w:rsidRDefault="00000000" w:rsidP="006A1E56">
      <w:pPr>
        <w:spacing w:after="120" w:line="360" w:lineRule="auto"/>
        <w:jc w:val="both"/>
        <w:rPr>
          <w:rFonts w:asciiTheme="minorHAnsi" w:hAnsiTheme="minorHAnsi"/>
        </w:rPr>
      </w:pPr>
      <w:r w:rsidRPr="003F6245">
        <w:rPr>
          <w:rFonts w:asciiTheme="minorHAnsi" w:hAnsiTheme="minorHAnsi"/>
        </w:rPr>
        <w:br w:type="page"/>
      </w:r>
    </w:p>
    <w:p w14:paraId="0022FB0E" w14:textId="77777777" w:rsidR="0041350B" w:rsidRPr="003F6245" w:rsidRDefault="00000000">
      <w:pPr>
        <w:pStyle w:val="berschrift2"/>
        <w:rPr>
          <w:rFonts w:asciiTheme="minorHAnsi" w:hAnsiTheme="minorHAnsi"/>
        </w:rPr>
      </w:pPr>
      <w:r w:rsidRPr="003F6245">
        <w:rPr>
          <w:rFonts w:asciiTheme="minorHAnsi" w:hAnsiTheme="minorHAnsi"/>
        </w:rPr>
        <w:lastRenderedPageBreak/>
        <w:t>4.3 Quadrantenklassifikation</w:t>
      </w:r>
    </w:p>
    <w:p w14:paraId="5905F185"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 xml:space="preserve">Die Schätzung des AR(1)-Modells liefert für jede der </w:t>
      </w:r>
      <w:r w:rsidRPr="003F6245">
        <w:rPr>
          <w:rFonts w:asciiTheme="minorHAnsi" w:hAnsiTheme="minorHAnsi"/>
          <w:color w:val="EE0000"/>
        </w:rPr>
        <w:t xml:space="preserve">6.524 </w:t>
      </w:r>
      <w:r w:rsidRPr="003F6245">
        <w:rPr>
          <w:rFonts w:asciiTheme="minorHAnsi" w:hAnsiTheme="minorHAnsi"/>
        </w:rPr>
        <w:t>Unternehmen-Kennzahl-Kombinationen zwei Größen: den Mean-Reversion-Koeffizienten φ₁ und die Veränderungsvolatilität σ(ΔY). Diese beiden Dimensionen spannen einen zweidimensionalen Raum auf, in dem jedes Unternehmen-Kennzahl-Paar einen Punkt bildet. Die Quadrantenklassifikation teilt diesen Raum systematisch in vier Dynamiktypen.</w:t>
      </w:r>
    </w:p>
    <w:p w14:paraId="540F6651" w14:textId="77777777" w:rsidR="0041350B" w:rsidRPr="003F6245" w:rsidRDefault="00000000">
      <w:pPr>
        <w:pStyle w:val="berschrift3"/>
        <w:rPr>
          <w:rFonts w:asciiTheme="minorHAnsi" w:hAnsiTheme="minorHAnsi"/>
        </w:rPr>
      </w:pPr>
      <w:r w:rsidRPr="003F6245">
        <w:rPr>
          <w:rFonts w:asciiTheme="minorHAnsi" w:hAnsiTheme="minorHAnsi"/>
        </w:rPr>
        <w:t>Konstruktion und Labels</w:t>
      </w:r>
    </w:p>
    <w:p w14:paraId="6DD501F9" w14:textId="77777777" w:rsidR="0041350B" w:rsidRPr="003F6245" w:rsidRDefault="000B42D0">
      <w:pPr>
        <w:spacing w:after="120" w:line="360" w:lineRule="auto"/>
        <w:jc w:val="both"/>
        <w:rPr>
          <w:rFonts w:asciiTheme="minorHAnsi" w:hAnsiTheme="minorHAnsi"/>
        </w:rPr>
      </w:pPr>
      <w:r w:rsidRPr="003F6245">
        <w:rPr>
          <w:rFonts w:asciiTheme="minorHAnsi" w:hAnsiTheme="minorHAnsi"/>
        </w:rPr>
        <w:t>Die Klassifikation erfolgt pro Kennzahl über einen Median-Split beider Dimensionen: Werte über dem kennzahlspezifischen Median werden als „hoch", Werte darunter als „niedrig" klassifiziert. Die Kombination ergibt vier Quadranten mit inhaltlichen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9"/>
        <w:gridCol w:w="1107"/>
        <w:gridCol w:w="976"/>
        <w:gridCol w:w="5164"/>
      </w:tblGrid>
      <w:tr w:rsidR="0041350B" w:rsidRPr="003F6245" w14:paraId="5A8CEA8F" w14:textId="77777777">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FB9916A" w14:textId="77777777" w:rsidR="0041350B" w:rsidRPr="003F6245" w:rsidRDefault="00000000">
            <w:pPr>
              <w:rPr>
                <w:rFonts w:asciiTheme="minorHAnsi" w:hAnsiTheme="minorHAnsi"/>
              </w:rPr>
            </w:pPr>
            <w:r w:rsidRPr="003F6245">
              <w:rPr>
                <w:rFonts w:asciiTheme="minorHAnsi" w:hAnsiTheme="minorHAnsi"/>
                <w:b/>
                <w:bCs/>
                <w:sz w:val="20"/>
                <w:szCs w:val="20"/>
              </w:rPr>
              <w:t>Quadrant</w:t>
            </w:r>
          </w:p>
        </w:tc>
        <w:tc>
          <w:tcPr>
            <w:tcW w:w="11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D0C4ED3" w14:textId="77777777" w:rsidR="0041350B" w:rsidRPr="003F6245" w:rsidRDefault="00000000">
            <w:pPr>
              <w:rPr>
                <w:rFonts w:asciiTheme="minorHAnsi" w:hAnsiTheme="minorHAnsi"/>
              </w:rPr>
            </w:pPr>
            <w:r w:rsidRPr="003F6245">
              <w:rPr>
                <w:rFonts w:asciiTheme="minorHAnsi" w:hAnsiTheme="minorHAnsi"/>
                <w:b/>
                <w:bCs/>
                <w:sz w:val="20"/>
                <w:szCs w:val="20"/>
              </w:rPr>
              <w:t>φ₁</w:t>
            </w:r>
          </w:p>
        </w:tc>
        <w:tc>
          <w:tcPr>
            <w:tcW w:w="11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C38BAC9" w14:textId="77777777" w:rsidR="0041350B" w:rsidRPr="003F6245" w:rsidRDefault="00000000">
            <w:pPr>
              <w:rPr>
                <w:rFonts w:asciiTheme="minorHAnsi" w:hAnsiTheme="minorHAnsi"/>
              </w:rPr>
            </w:pPr>
            <w:r w:rsidRPr="003F6245">
              <w:rPr>
                <w:rFonts w:asciiTheme="minorHAnsi" w:hAnsiTheme="minorHAnsi"/>
                <w:b/>
                <w:bCs/>
                <w:sz w:val="20"/>
                <w:szCs w:val="20"/>
              </w:rPr>
              <w:t>σ(ΔY)</w:t>
            </w:r>
          </w:p>
        </w:tc>
        <w:tc>
          <w:tcPr>
            <w:tcW w:w="4626"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7628B75" w14:textId="77777777" w:rsidR="0041350B" w:rsidRPr="003F6245" w:rsidRDefault="00000000">
            <w:pPr>
              <w:rPr>
                <w:rFonts w:asciiTheme="minorHAnsi" w:hAnsiTheme="minorHAnsi"/>
              </w:rPr>
            </w:pPr>
            <w:r w:rsidRPr="003F6245">
              <w:rPr>
                <w:rFonts w:asciiTheme="minorHAnsi" w:hAnsiTheme="minorHAnsi"/>
                <w:b/>
                <w:bCs/>
                <w:sz w:val="20"/>
                <w:szCs w:val="20"/>
              </w:rPr>
              <w:t>Ökonomische Interpretation</w:t>
            </w:r>
          </w:p>
        </w:tc>
      </w:tr>
      <w:tr w:rsidR="0041350B" w:rsidRPr="003F6245" w14:paraId="723758F6"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0F4EBB" w14:textId="77777777" w:rsidR="0041350B" w:rsidRPr="003F6245" w:rsidRDefault="00000000">
            <w:pPr>
              <w:rPr>
                <w:rFonts w:asciiTheme="minorHAnsi" w:hAnsiTheme="minorHAnsi"/>
              </w:rPr>
            </w:pPr>
            <w:r w:rsidRPr="003F6245">
              <w:rPr>
                <w:rFonts w:asciiTheme="minorHAnsi" w:hAnsiTheme="minorHAnsi"/>
                <w:sz w:val="20"/>
                <w:szCs w:val="20"/>
              </w:rPr>
              <w:t>Korrektiv-Stabil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4C5385" w14:textId="77777777" w:rsidR="0041350B" w:rsidRPr="003F6245" w:rsidRDefault="00000000">
            <w:pPr>
              <w:rPr>
                <w:rFonts w:asciiTheme="minorHAnsi" w:hAnsiTheme="minorHAnsi"/>
              </w:rPr>
            </w:pPr>
            <w:r w:rsidRPr="003F6245">
              <w:rPr>
                <w:rFonts w:asciiTheme="minorHAnsi" w:hAnsiTheme="minorHAnsi"/>
                <w:sz w:val="20"/>
                <w:szCs w:val="20"/>
              </w:rPr>
              <w:t>stark negativ</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2CEB43" w14:textId="77777777" w:rsidR="0041350B" w:rsidRPr="003F6245" w:rsidRDefault="00000000">
            <w:pPr>
              <w:rPr>
                <w:rFonts w:asciiTheme="minorHAnsi" w:hAnsiTheme="minorHAnsi"/>
              </w:rPr>
            </w:pPr>
            <w:r w:rsidRPr="003F6245">
              <w:rPr>
                <w:rFonts w:asciiTheme="minorHAnsi" w:hAnsiTheme="minorHAnsi"/>
                <w:sz w:val="20"/>
                <w:szCs w:val="20"/>
              </w:rPr>
              <w:t>niedrig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4A29EF" w14:textId="77777777" w:rsidR="0041350B" w:rsidRPr="003F6245" w:rsidRDefault="00000000">
            <w:pPr>
              <w:rPr>
                <w:rFonts w:asciiTheme="minorHAnsi" w:hAnsiTheme="minorHAnsi"/>
              </w:rPr>
            </w:pPr>
            <w:r w:rsidRPr="003F6245">
              <w:rPr>
                <w:rFonts w:asciiTheme="minorHAnsi" w:hAnsiTheme="minorHAnsi"/>
                <w:sz w:val="20"/>
                <w:szCs w:val="20"/>
              </w:rPr>
              <w:t>Kleine Veränderungen, die sich systematisch korrigieren. Höchste Vorhersagbarkeit.</w:t>
            </w:r>
          </w:p>
        </w:tc>
      </w:tr>
      <w:tr w:rsidR="0041350B" w:rsidRPr="003F6245" w14:paraId="3575E1CF"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5CDCD7" w14:textId="77777777" w:rsidR="0041350B" w:rsidRPr="003F6245" w:rsidRDefault="00000000">
            <w:pPr>
              <w:rPr>
                <w:rFonts w:asciiTheme="minorHAnsi" w:hAnsiTheme="minorHAnsi"/>
              </w:rPr>
            </w:pPr>
            <w:r w:rsidRPr="003F6245">
              <w:rPr>
                <w:rFonts w:asciiTheme="minorHAnsi" w:hAnsiTheme="minorHAnsi"/>
                <w:sz w:val="20"/>
                <w:szCs w:val="20"/>
              </w:rPr>
              <w:t>Korrektiv-Volatil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90FE19" w14:textId="77777777" w:rsidR="0041350B" w:rsidRPr="003F6245" w:rsidRDefault="00000000">
            <w:pPr>
              <w:rPr>
                <w:rFonts w:asciiTheme="minorHAnsi" w:hAnsiTheme="minorHAnsi"/>
              </w:rPr>
            </w:pPr>
            <w:r w:rsidRPr="003F6245">
              <w:rPr>
                <w:rFonts w:asciiTheme="minorHAnsi" w:hAnsiTheme="minorHAnsi"/>
                <w:sz w:val="20"/>
                <w:szCs w:val="20"/>
              </w:rPr>
              <w:t>stark negativ</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70BE53" w14:textId="77777777" w:rsidR="0041350B" w:rsidRPr="003F6245" w:rsidRDefault="00000000">
            <w:pPr>
              <w:rPr>
                <w:rFonts w:asciiTheme="minorHAnsi" w:hAnsiTheme="minorHAnsi"/>
              </w:rPr>
            </w:pPr>
            <w:r w:rsidRPr="003F6245">
              <w:rPr>
                <w:rFonts w:asciiTheme="minorHAnsi" w:hAnsiTheme="minorHAnsi"/>
                <w:sz w:val="20"/>
                <w:szCs w:val="20"/>
              </w:rPr>
              <w:t>hoch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426DA9" w14:textId="77777777" w:rsidR="0041350B" w:rsidRPr="003F6245" w:rsidRDefault="00000000">
            <w:pPr>
              <w:rPr>
                <w:rFonts w:asciiTheme="minorHAnsi" w:hAnsiTheme="minorHAnsi"/>
              </w:rPr>
            </w:pPr>
            <w:r w:rsidRPr="003F6245">
              <w:rPr>
                <w:rFonts w:asciiTheme="minorHAnsi" w:hAnsiTheme="minorHAnsi"/>
                <w:sz w:val="20"/>
                <w:szCs w:val="20"/>
              </w:rPr>
              <w:t>Große Ausschläge, die sich aber zurückbilden. Zyklische Branchen.</w:t>
            </w:r>
          </w:p>
        </w:tc>
      </w:tr>
      <w:tr w:rsidR="0041350B" w:rsidRPr="003F6245" w14:paraId="64C0B81F"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648DE1" w14:textId="77777777" w:rsidR="0041350B" w:rsidRPr="003F6245" w:rsidRDefault="00000000">
            <w:pPr>
              <w:rPr>
                <w:rFonts w:asciiTheme="minorHAnsi" w:hAnsiTheme="minorHAnsi"/>
              </w:rPr>
            </w:pPr>
            <w:r w:rsidRPr="003F6245">
              <w:rPr>
                <w:rFonts w:asciiTheme="minorHAnsi" w:hAnsiTheme="minorHAnsi"/>
                <w:sz w:val="20"/>
                <w:szCs w:val="20"/>
              </w:rPr>
              <w:t>Persistent-Stabil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A3B5BF" w14:textId="77777777" w:rsidR="0041350B" w:rsidRPr="003F6245" w:rsidRDefault="00000000">
            <w:pPr>
              <w:rPr>
                <w:rFonts w:asciiTheme="minorHAnsi" w:hAnsiTheme="minorHAnsi"/>
              </w:rPr>
            </w:pPr>
            <w:r w:rsidRPr="003F6245">
              <w:rPr>
                <w:rFonts w:asciiTheme="minorHAnsi" w:hAnsiTheme="minorHAnsi"/>
                <w:sz w:val="20"/>
                <w:szCs w:val="20"/>
              </w:rPr>
              <w:t>nahe 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804564" w14:textId="77777777" w:rsidR="0041350B" w:rsidRPr="003F6245" w:rsidRDefault="00000000">
            <w:pPr>
              <w:rPr>
                <w:rFonts w:asciiTheme="minorHAnsi" w:hAnsiTheme="minorHAnsi"/>
              </w:rPr>
            </w:pPr>
            <w:r w:rsidRPr="003F6245">
              <w:rPr>
                <w:rFonts w:asciiTheme="minorHAnsi" w:hAnsiTheme="minorHAnsi"/>
                <w:sz w:val="20"/>
                <w:szCs w:val="20"/>
              </w:rPr>
              <w:t>niedrig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F2E179" w14:textId="77777777" w:rsidR="0041350B" w:rsidRPr="003F6245" w:rsidRDefault="00000000">
            <w:pPr>
              <w:rPr>
                <w:rFonts w:asciiTheme="minorHAnsi" w:hAnsiTheme="minorHAnsi"/>
              </w:rPr>
            </w:pPr>
            <w:r w:rsidRPr="003F6245">
              <w:rPr>
                <w:rFonts w:asciiTheme="minorHAnsi" w:hAnsiTheme="minorHAnsi"/>
                <w:sz w:val="20"/>
                <w:szCs w:val="20"/>
              </w:rPr>
              <w:t>Langsame Drift ohne Korrektur. Träge Kennzahlen.</w:t>
            </w:r>
          </w:p>
        </w:tc>
      </w:tr>
      <w:tr w:rsidR="0041350B" w:rsidRPr="003F6245" w14:paraId="068C7FB6"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645CF2" w14:textId="77777777" w:rsidR="0041350B" w:rsidRPr="003F6245" w:rsidRDefault="00000000">
            <w:pPr>
              <w:rPr>
                <w:rFonts w:asciiTheme="minorHAnsi" w:hAnsiTheme="minorHAnsi"/>
              </w:rPr>
            </w:pPr>
            <w:r w:rsidRPr="003F6245">
              <w:rPr>
                <w:rFonts w:asciiTheme="minorHAnsi" w:hAnsiTheme="minorHAnsi"/>
                <w:sz w:val="20"/>
                <w:szCs w:val="20"/>
              </w:rPr>
              <w:t>Persistent-Volatil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4E8808" w14:textId="77777777" w:rsidR="0041350B" w:rsidRPr="003F6245" w:rsidRDefault="00000000">
            <w:pPr>
              <w:rPr>
                <w:rFonts w:asciiTheme="minorHAnsi" w:hAnsiTheme="minorHAnsi"/>
              </w:rPr>
            </w:pPr>
            <w:r w:rsidRPr="003F6245">
              <w:rPr>
                <w:rFonts w:asciiTheme="minorHAnsi" w:hAnsiTheme="minorHAnsi"/>
                <w:sz w:val="20"/>
                <w:szCs w:val="20"/>
              </w:rPr>
              <w:t>nahe 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C565C3" w14:textId="77777777" w:rsidR="0041350B" w:rsidRPr="003F6245" w:rsidRDefault="00000000">
            <w:pPr>
              <w:rPr>
                <w:rFonts w:asciiTheme="minorHAnsi" w:hAnsiTheme="minorHAnsi"/>
              </w:rPr>
            </w:pPr>
            <w:r w:rsidRPr="003F6245">
              <w:rPr>
                <w:rFonts w:asciiTheme="minorHAnsi" w:hAnsiTheme="minorHAnsi"/>
                <w:sz w:val="20"/>
                <w:szCs w:val="20"/>
              </w:rPr>
              <w:t>hoch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DDAEEC" w14:textId="77777777" w:rsidR="0041350B" w:rsidRPr="003F6245" w:rsidRDefault="00000000">
            <w:pPr>
              <w:rPr>
                <w:rFonts w:asciiTheme="minorHAnsi" w:hAnsiTheme="minorHAnsi"/>
              </w:rPr>
            </w:pPr>
            <w:r w:rsidRPr="003F6245">
              <w:rPr>
                <w:rFonts w:asciiTheme="minorHAnsi" w:hAnsiTheme="minorHAnsi"/>
                <w:sz w:val="20"/>
                <w:szCs w:val="20"/>
              </w:rPr>
              <w:t>Große Veränderungen ohne Korrektur. Höchstes Risikoprofil.</w:t>
            </w:r>
          </w:p>
        </w:tc>
      </w:tr>
    </w:tbl>
    <w:p w14:paraId="570C12C7" w14:textId="77777777" w:rsidR="0041350B" w:rsidRPr="003F6245" w:rsidRDefault="00000000">
      <w:pPr>
        <w:pStyle w:val="berschrift3"/>
        <w:rPr>
          <w:rFonts w:asciiTheme="minorHAnsi" w:hAnsiTheme="minorHAnsi"/>
        </w:rPr>
      </w:pPr>
      <w:r w:rsidRPr="003F6245">
        <w:rPr>
          <w:rFonts w:asciiTheme="minorHAnsi" w:hAnsiTheme="minorHAnsi"/>
        </w:rPr>
        <w:t>Begründung des Median-Splits</w:t>
      </w:r>
    </w:p>
    <w:p w14:paraId="053935D6"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Der Median-Split als Trennmechanismus ist eine methodische Entscheidung mit bekannten Vor- und Nachteilen. MacCallum et al. (2002) kritisieren die Dichotomisierung kontinuierlicher Variablen und beziffern den Informationsverlust auf etwa 20 % der Parametergenauigkeit. Rucker, McShane und Preacher (2015) relativieren diese Kritik und zeigen, dass Median-Splits akzeptable Ergebnisse liefern, sofern die dichotomisierten Variablen nicht hoch korreliert sind - eine Bedingung, die in der vorliegenden Arbeit weitgehend erfüllt ist (|ρ| &lt; 0,19 für Profitabilitätskennzahlen, |ρ| ≈ 0,19–0,24 für Bilanzstruktur-Kennzahlen; vgl. Abschnitt 4.3.3).</w:t>
      </w:r>
    </w:p>
    <w:p w14:paraId="7ED3088A"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 xml:space="preserve">Drei Argumente sprechen für den Median-Split gegenüber alternativen Klassifikationsmethoden wie K-Means: Erstens sind die resultierenden Labels direkt </w:t>
      </w:r>
      <w:r w:rsidRPr="003F6245">
        <w:rPr>
          <w:rFonts w:asciiTheme="minorHAnsi" w:hAnsiTheme="minorHAnsi"/>
        </w:rPr>
        <w:lastRenderedPageBreak/>
        <w:t>aus den Dimensionen abgeleitet und damit unmittelbar interpretierbar — „korrektiv“ bedeutet starke Mean-Reversion, „volatil“ bedeutet hohe σ(ΔY). Zweitens ist die Zuordnung vollständig transparent und reproduzierbar. Drittens entspricht der Ansatz der etablierten Portfolio-Sort-Methodik in der empirischen Finanzforschung, wie sie etwa bei Fama und French (1993) für die Size- und Value-Sortierung verwendet wird. K-Means wird als Robustheitscheck in Kapitel X eingesetzt, um die Stabilität der Klassifikation zu prüfen.</w:t>
      </w:r>
    </w:p>
    <w:p w14:paraId="00FB8003" w14:textId="77777777" w:rsidR="0041350B" w:rsidRPr="003F6245" w:rsidRDefault="00000000">
      <w:pPr>
        <w:pStyle w:val="berschrift3"/>
        <w:rPr>
          <w:rFonts w:asciiTheme="minorHAnsi" w:hAnsiTheme="minorHAnsi"/>
        </w:rPr>
      </w:pPr>
      <w:r w:rsidRPr="003F6245">
        <w:rPr>
          <w:rFonts w:asciiTheme="minorHAnsi" w:hAnsiTheme="minorHAnsi"/>
        </w:rPr>
        <w:t>Validierung: Mechanische Unabhängigkeit von φ₁ und σ</w:t>
      </w:r>
    </w:p>
    <w:p w14:paraId="4B6A9987"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Eine potenzielle methodische Schwäche der Quadrantenklassifikation wäre eine mechanische Abhängigkeit der beiden Dimensionen: Höhere Volatilität könnte automatisch stärkere Mean-Reversion erzeugen, da größere Ausschläge häufiger zu Umkehrungen führen. In diesem Fall würde die Quadrantenklassifikation teilweise dieselbe Information doppelt verwenden.</w:t>
      </w:r>
    </w:p>
    <w:p w14:paraId="5390B0DA" w14:textId="77777777" w:rsidR="0041350B" w:rsidRPr="003F6245" w:rsidRDefault="00000000">
      <w:pPr>
        <w:spacing w:after="120" w:line="360" w:lineRule="auto"/>
        <w:jc w:val="both"/>
        <w:rPr>
          <w:rFonts w:asciiTheme="minorHAnsi" w:hAnsiTheme="minorHAnsi"/>
          <w:color w:val="EE0000"/>
        </w:rPr>
      </w:pPr>
      <w:r w:rsidRPr="003F6245">
        <w:rPr>
          <w:rFonts w:asciiTheme="minorHAnsi" w:hAnsiTheme="minorHAnsi"/>
          <w:color w:val="EE0000"/>
        </w:rPr>
        <w:t xml:space="preserve">Um diese Möglichkeit zu prüfen, wird ein </w:t>
      </w:r>
      <w:r w:rsidRPr="003F6245">
        <w:rPr>
          <w:rFonts w:asciiTheme="minorHAnsi" w:hAnsiTheme="minorHAnsi"/>
          <w:b/>
          <w:bCs/>
          <w:color w:val="EE0000"/>
        </w:rPr>
        <w:t>Monte-Carlo-Benchmark</w:t>
      </w:r>
      <w:r w:rsidRPr="003F6245">
        <w:rPr>
          <w:rFonts w:asciiTheme="minorHAnsi" w:hAnsiTheme="minorHAnsi"/>
          <w:color w:val="EE0000"/>
        </w:rPr>
        <w:t xml:space="preserve"> durchgeführt: 1.000 simulierte AR(1)-Prozesse mit fixierter wahrer Volatilität (σ_true = const.) und variierendem φ₁ erzeugen eine rein mechanische Korrelation von ρ = −0,751. In den realen Daten liegt die Spearman-Korrelation zwischen φ₁ und σ(ΔY) jedoch deutlich niedriger: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00"/>
        <w:gridCol w:w="1600"/>
        <w:gridCol w:w="1726"/>
      </w:tblGrid>
      <w:tr w:rsidR="0041350B" w:rsidRPr="003F6245" w14:paraId="269FC476" w14:textId="77777777">
        <w:tc>
          <w:tcPr>
            <w:tcW w:w="25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0DD7435" w14:textId="77777777" w:rsidR="0041350B" w:rsidRPr="003F6245" w:rsidRDefault="00000000">
            <w:pPr>
              <w:rPr>
                <w:rFonts w:asciiTheme="minorHAnsi" w:hAnsiTheme="minorHAnsi"/>
                <w:color w:val="EE0000"/>
              </w:rPr>
            </w:pPr>
            <w:r w:rsidRPr="003F6245">
              <w:rPr>
                <w:rFonts w:asciiTheme="minorHAnsi" w:hAnsiTheme="minorHAnsi"/>
                <w:b/>
                <w:bCs/>
                <w:color w:val="EE0000"/>
                <w:sz w:val="20"/>
                <w:szCs w:val="20"/>
              </w:rPr>
              <w:t>Kennzahl</w:t>
            </w:r>
          </w:p>
        </w:tc>
        <w:tc>
          <w:tcPr>
            <w:tcW w:w="1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AC00D5C" w14:textId="77777777" w:rsidR="0041350B" w:rsidRPr="003F6245" w:rsidRDefault="00000000">
            <w:pPr>
              <w:rPr>
                <w:rFonts w:asciiTheme="minorHAnsi" w:hAnsiTheme="minorHAnsi"/>
                <w:color w:val="EE0000"/>
              </w:rPr>
            </w:pPr>
            <w:r w:rsidRPr="003F6245">
              <w:rPr>
                <w:rFonts w:asciiTheme="minorHAnsi" w:hAnsiTheme="minorHAnsi"/>
                <w:b/>
                <w:bCs/>
                <w:color w:val="EE0000"/>
                <w:sz w:val="20"/>
                <w:szCs w:val="20"/>
              </w:rPr>
              <w:t>Spearman ρ</w:t>
            </w:r>
          </w:p>
        </w:tc>
        <w:tc>
          <w:tcPr>
            <w:tcW w:w="1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4CD8938" w14:textId="77777777" w:rsidR="0041350B" w:rsidRPr="003F6245" w:rsidRDefault="00000000">
            <w:pPr>
              <w:rPr>
                <w:rFonts w:asciiTheme="minorHAnsi" w:hAnsiTheme="minorHAnsi"/>
                <w:color w:val="EE0000"/>
              </w:rPr>
            </w:pPr>
            <w:r w:rsidRPr="003F6245">
              <w:rPr>
                <w:rFonts w:asciiTheme="minorHAnsi" w:hAnsiTheme="minorHAnsi"/>
                <w:b/>
                <w:bCs/>
                <w:color w:val="EE0000"/>
                <w:sz w:val="20"/>
                <w:szCs w:val="20"/>
              </w:rPr>
              <w:t>Signifikanz</w:t>
            </w:r>
          </w:p>
        </w:tc>
        <w:tc>
          <w:tcPr>
            <w:tcW w:w="1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C15FA7E" w14:textId="77777777" w:rsidR="0041350B" w:rsidRPr="003F6245" w:rsidRDefault="00000000">
            <w:pPr>
              <w:rPr>
                <w:rFonts w:asciiTheme="minorHAnsi" w:hAnsiTheme="minorHAnsi"/>
                <w:color w:val="EE0000"/>
              </w:rPr>
            </w:pPr>
            <w:r w:rsidRPr="003F6245">
              <w:rPr>
                <w:rFonts w:asciiTheme="minorHAnsi" w:hAnsiTheme="minorHAnsi"/>
                <w:b/>
                <w:bCs/>
                <w:color w:val="EE0000"/>
                <w:sz w:val="20"/>
                <w:szCs w:val="20"/>
              </w:rPr>
              <w:t>MC-Benchmark</w:t>
            </w:r>
          </w:p>
        </w:tc>
        <w:tc>
          <w:tcPr>
            <w:tcW w:w="1726"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23782C1" w14:textId="77777777" w:rsidR="0041350B" w:rsidRPr="003F6245" w:rsidRDefault="00000000">
            <w:pPr>
              <w:rPr>
                <w:rFonts w:asciiTheme="minorHAnsi" w:hAnsiTheme="minorHAnsi"/>
                <w:color w:val="EE0000"/>
              </w:rPr>
            </w:pPr>
            <w:r w:rsidRPr="003F6245">
              <w:rPr>
                <w:rFonts w:asciiTheme="minorHAnsi" w:hAnsiTheme="minorHAnsi"/>
                <w:b/>
                <w:bCs/>
                <w:color w:val="EE0000"/>
                <w:sz w:val="20"/>
                <w:szCs w:val="20"/>
              </w:rPr>
              <w:t>Differenz</w:t>
            </w:r>
          </w:p>
        </w:tc>
      </w:tr>
      <w:tr w:rsidR="0041350B" w:rsidRPr="003F6245" w14:paraId="7DF9FC9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40AC00"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ROA</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135144"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−0,089</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2192AB"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p &lt; 0,01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04726E"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−0,751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A6A44C"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+0,662</w:t>
            </w:r>
          </w:p>
        </w:tc>
      </w:tr>
      <w:tr w:rsidR="0041350B" w:rsidRPr="003F6245" w14:paraId="2928AFEC"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5CB007"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ROE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A0822"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−0,041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6E97A"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n.s.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E7C118"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−0,751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E76C0A"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+0,710</w:t>
            </w:r>
          </w:p>
        </w:tc>
      </w:tr>
      <w:tr w:rsidR="0041350B" w:rsidRPr="003F6245" w14:paraId="75B5E7A8"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F1C6FB"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EBIT-Marge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6B4149"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−0,182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4468A"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p &lt; 0,001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2FEBC"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−0,751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373FF"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+0,569</w:t>
            </w:r>
          </w:p>
        </w:tc>
      </w:tr>
      <w:tr w:rsidR="0041350B" w:rsidRPr="003F6245" w14:paraId="3C936ECC"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851922"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FCF-Marge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2205FE"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+0,045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4CB68B"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n.s.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3C119"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−0,751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13A44F"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+0,796</w:t>
            </w:r>
          </w:p>
        </w:tc>
      </w:tr>
      <w:tr w:rsidR="0041350B" w:rsidRPr="003F6245" w14:paraId="43B473BE"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E6AF0"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Current Ratio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9696E"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−0,187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BE7E8C"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p &lt; 0,001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0995AE"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−0,751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BFFF5D"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+0,564</w:t>
            </w:r>
          </w:p>
        </w:tc>
      </w:tr>
      <w:tr w:rsidR="0041350B" w:rsidRPr="003F6245" w14:paraId="7C86F28A"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C91B82"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Debt/Equity</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1421D"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−0,241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C21DFD"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p &lt; 0,001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54960"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−0,751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DCD93D"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+0,510</w:t>
            </w:r>
          </w:p>
        </w:tc>
      </w:tr>
      <w:tr w:rsidR="0041350B" w:rsidRPr="003F6245" w14:paraId="6F315B82"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3A239"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EK-Quote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435BEA"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−0,091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2A1FD5"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p &lt; 0,01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1429F0"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−0,751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99A3E5" w14:textId="77777777" w:rsidR="0041350B" w:rsidRPr="003F6245" w:rsidRDefault="00000000">
            <w:pPr>
              <w:rPr>
                <w:rFonts w:asciiTheme="minorHAnsi" w:hAnsiTheme="minorHAnsi"/>
                <w:color w:val="EE0000"/>
              </w:rPr>
            </w:pPr>
            <w:r w:rsidRPr="003F6245">
              <w:rPr>
                <w:rFonts w:asciiTheme="minorHAnsi" w:hAnsiTheme="minorHAnsi"/>
                <w:color w:val="EE0000"/>
                <w:sz w:val="20"/>
                <w:szCs w:val="20"/>
              </w:rPr>
              <w:t>+0,660</w:t>
            </w:r>
          </w:p>
        </w:tc>
      </w:tr>
    </w:tbl>
    <w:p w14:paraId="539089D4" w14:textId="77777777" w:rsidR="0041350B" w:rsidRPr="003F6245" w:rsidRDefault="00000000">
      <w:pPr>
        <w:spacing w:before="80" w:after="240"/>
        <w:jc w:val="center"/>
        <w:rPr>
          <w:rFonts w:asciiTheme="minorHAnsi" w:hAnsiTheme="minorHAnsi"/>
          <w:color w:val="EE0000"/>
        </w:rPr>
      </w:pPr>
      <w:r w:rsidRPr="003F6245">
        <w:rPr>
          <w:rFonts w:asciiTheme="minorHAnsi" w:hAnsiTheme="minorHAnsi"/>
          <w:i/>
          <w:iCs/>
          <w:color w:val="EE0000"/>
          <w:sz w:val="20"/>
          <w:szCs w:val="20"/>
        </w:rPr>
        <w:t>Tabelle 4.3: Empirische Spearman-Korrelation zwischen φ₁ und σ(ΔY) im Vergleich zum Monte-Carlo-Benchmark. Die Differenz zeigt, wie weit die reale Korrelation unter dem mechanischen Erwartungswert liegt.</w:t>
      </w:r>
    </w:p>
    <w:p w14:paraId="6B0470BD" w14:textId="77777777" w:rsidR="0041350B" w:rsidRPr="003F6245" w:rsidRDefault="00000000">
      <w:pPr>
        <w:spacing w:after="120" w:line="360" w:lineRule="auto"/>
        <w:jc w:val="both"/>
        <w:rPr>
          <w:rFonts w:asciiTheme="minorHAnsi" w:hAnsiTheme="minorHAnsi"/>
          <w:color w:val="EE0000"/>
        </w:rPr>
      </w:pPr>
      <w:r w:rsidRPr="003F6245">
        <w:rPr>
          <w:rFonts w:asciiTheme="minorHAnsi" w:hAnsiTheme="minorHAnsi"/>
          <w:color w:val="EE0000"/>
        </w:rPr>
        <w:t xml:space="preserve">Bei den vier Profitabilitätskennzahlen (ROA, ROE, EBIT-Marge, FCF-Marge) liegt |ρ| durchgängig unter 0,19 — also deutlich unter dem mechanischen Benchmark von 0,75. Die Differenz (0,51 bis 0,80) zeigt, dass die empirische Variation in σ(ΔY) </w:t>
      </w:r>
      <w:r w:rsidRPr="003F6245">
        <w:rPr>
          <w:rFonts w:asciiTheme="minorHAnsi" w:hAnsiTheme="minorHAnsi"/>
          <w:color w:val="EE0000"/>
        </w:rPr>
        <w:lastRenderedPageBreak/>
        <w:t>zwischen Unternehmen die mechanische Kopplung dominiert: Unternehmen unterscheiden sich real in ihrer Volatilität, und diese Unterschiede sind nicht an φ₁ gekoppelt. Ergänzend bestätigt die Kontingenzanalyse, dass die vier Quadranten für ROA, ROE, FCF-Marge und Eigenkapitalquote annähernd gleichverteilt sind (χ²-Test nicht signifikant). Die beiden Dimensionen sind empirisch trennbar, und die Quadrantenklassifikation nutzt tatsächlich zwei unabhängige Informationsdimensionen.</w:t>
      </w:r>
    </w:p>
    <w:p w14:paraId="246603FD" w14:textId="77777777" w:rsidR="0041350B" w:rsidRPr="003F6245" w:rsidRDefault="00000000">
      <w:pPr>
        <w:spacing w:after="120" w:line="360" w:lineRule="auto"/>
        <w:jc w:val="both"/>
        <w:rPr>
          <w:rFonts w:asciiTheme="minorHAnsi" w:hAnsiTheme="minorHAnsi"/>
          <w:color w:val="EE0000"/>
        </w:rPr>
      </w:pPr>
      <w:r w:rsidRPr="003F6245">
        <w:rPr>
          <w:rFonts w:asciiTheme="minorHAnsi" w:hAnsiTheme="minorHAnsi"/>
          <w:color w:val="EE0000"/>
        </w:rPr>
        <w:t>Für Debt/Equity und Current Ratio ist die Korrelation etwas stärker (|ρ| ≈ 0,19–0,24), liegt aber weiterhin weit unter dem mechanischen Benchmark. Diese Einschränkung wird bei der Interpretation der Bilanzstruktur-Kennzahlen in Kapitel X berücksichtigt.</w:t>
      </w:r>
    </w:p>
    <w:p w14:paraId="78B3C804" w14:textId="77777777" w:rsidR="00AA4B8D" w:rsidRPr="003F6245" w:rsidRDefault="00AA4B8D">
      <w:pPr>
        <w:spacing w:after="120" w:line="360" w:lineRule="auto"/>
        <w:jc w:val="both"/>
        <w:rPr>
          <w:rFonts w:asciiTheme="minorHAnsi" w:hAnsiTheme="minorHAnsi"/>
          <w:color w:val="EE0000"/>
        </w:rPr>
      </w:pPr>
      <w:r w:rsidRPr="003F6245">
        <w:rPr>
          <w:rFonts w:asciiTheme="minorHAnsi" w:hAnsiTheme="minorHAnsi"/>
        </w:rPr>
        <w:t>Abbildung 4.1 illustriert die Quadrantenklassifikation am Beispiel ROA. Die Streuung der Unternehmen über alle vier Quadranten bestätigt visuell, dass φ₁ und σ(ΔY) nicht mechanisch gekoppelt sind — Unternehmen mit starker Mean-Reversion finden sich sowohl bei niedriger als auch bei hoher Volatilität.</w:t>
      </w:r>
    </w:p>
    <w:p w14:paraId="240D29C1" w14:textId="77777777" w:rsidR="0041350B" w:rsidRPr="003F6245" w:rsidRDefault="00000000">
      <w:pPr>
        <w:spacing w:before="240" w:after="80"/>
        <w:jc w:val="center"/>
        <w:rPr>
          <w:rFonts w:asciiTheme="minorHAnsi" w:hAnsiTheme="minorHAnsi"/>
        </w:rPr>
      </w:pPr>
      <w:r w:rsidRPr="003F6245">
        <w:rPr>
          <w:rFonts w:asciiTheme="minorHAnsi" w:hAnsiTheme="minorHAnsi"/>
          <w:noProof/>
        </w:rPr>
        <w:drawing>
          <wp:inline distT="0" distB="0" distL="0" distR="0" wp14:anchorId="4F37D6D7" wp14:editId="2C39CC0D">
            <wp:extent cx="4762500" cy="3571875"/>
            <wp:effectExtent l="0" t="0" r="0" b="0"/>
            <wp:docPr id="1" name="methodik_phi1_vs_sigma" descr="Scatter phi1 vs sigma" title="Quadrantenklassifik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571875"/>
                    </a:xfrm>
                    <a:prstGeom prst="rect">
                      <a:avLst/>
                    </a:prstGeom>
                  </pic:spPr>
                </pic:pic>
              </a:graphicData>
            </a:graphic>
          </wp:inline>
        </w:drawing>
      </w:r>
    </w:p>
    <w:p w14:paraId="2807A4F6" w14:textId="77777777" w:rsidR="0041350B" w:rsidRPr="003F6245" w:rsidRDefault="00000000">
      <w:pPr>
        <w:spacing w:before="80" w:after="240"/>
        <w:jc w:val="center"/>
        <w:rPr>
          <w:rFonts w:asciiTheme="minorHAnsi" w:hAnsiTheme="minorHAnsi"/>
        </w:rPr>
      </w:pPr>
      <w:r w:rsidRPr="003F6245">
        <w:rPr>
          <w:rFonts w:asciiTheme="minorHAnsi" w:hAnsiTheme="minorHAnsi"/>
          <w:i/>
          <w:iCs/>
          <w:sz w:val="20"/>
          <w:szCs w:val="20"/>
        </w:rPr>
        <w:t>Abbildung 4.1: Quadrantenklassifikation am Beispiel ROA. Jeder Punkt repräsentiert ein Unternehmen im φ₁-σ-Raum. Die gestrichelten Linien markieren die Median-Splits.</w:t>
      </w:r>
    </w:p>
    <w:p w14:paraId="48502EA9" w14:textId="77777777" w:rsidR="0041350B" w:rsidRPr="003F6245" w:rsidRDefault="007F5FEE">
      <w:pPr>
        <w:rPr>
          <w:rFonts w:asciiTheme="minorHAnsi" w:hAnsiTheme="minorHAnsi"/>
        </w:rPr>
      </w:pPr>
      <w:r w:rsidRPr="003F6245">
        <w:rPr>
          <w:rFonts w:asciiTheme="minorHAnsi" w:hAnsiTheme="minorHAnsi"/>
          <w:color w:val="EE0000"/>
          <w:sz w:val="20"/>
          <w:szCs w:val="20"/>
        </w:rPr>
        <w:t>2. Quadrantenlinie fehlt!!! Daran erkennt man dan visuell erst so richtig, dass die alle streuen.</w:t>
      </w:r>
      <w:r w:rsidRPr="003F6245">
        <w:rPr>
          <w:rFonts w:asciiTheme="minorHAnsi" w:hAnsiTheme="minorHAnsi"/>
        </w:rPr>
        <w:br w:type="page"/>
      </w:r>
    </w:p>
    <w:p w14:paraId="471AD333" w14:textId="77777777" w:rsidR="0041350B" w:rsidRPr="003F6245" w:rsidRDefault="00000000">
      <w:pPr>
        <w:pStyle w:val="berschrift2"/>
        <w:rPr>
          <w:rFonts w:asciiTheme="minorHAnsi" w:hAnsiTheme="minorHAnsi"/>
        </w:rPr>
      </w:pPr>
      <w:r w:rsidRPr="003F6245">
        <w:rPr>
          <w:rFonts w:asciiTheme="minorHAnsi" w:hAnsiTheme="minorHAnsi"/>
        </w:rPr>
        <w:lastRenderedPageBreak/>
        <w:t>4.4 Robustheitsdesign</w:t>
      </w:r>
    </w:p>
    <w:p w14:paraId="6B252224"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Die Robustheit der Ergebnisse wird entlang dreier Dimensionen geprüft: Modellspezifikation, Stichprobenselektion und Quadrantenvalidierung. Dieser Abschnitt stellt das Design vor; die Ergebnisse werden in den jeweiligen Ergebniskapiteln berichtet.</w:t>
      </w:r>
    </w:p>
    <w:p w14:paraId="0A9BBE63" w14:textId="77777777" w:rsidR="00DA1F6C" w:rsidRPr="003F6245" w:rsidRDefault="00DA1F6C" w:rsidP="00DA1F6C">
      <w:pPr>
        <w:pStyle w:val="berschrift3"/>
        <w:rPr>
          <w:rFonts w:asciiTheme="minorHAnsi" w:hAnsiTheme="minorHAnsi"/>
        </w:rPr>
      </w:pPr>
      <w:r w:rsidRPr="003F6245">
        <w:rPr>
          <w:rFonts w:asciiTheme="minorHAnsi" w:hAnsiTheme="minorHAnsi"/>
        </w:rPr>
        <w:t>Modellwahl und Abgrenzung</w:t>
      </w:r>
    </w:p>
    <w:p w14:paraId="13E38075" w14:textId="77777777" w:rsidR="00DA1F6C" w:rsidRPr="003F6245" w:rsidRDefault="00DA1F6C" w:rsidP="00DA1F6C">
      <w:pPr>
        <w:spacing w:after="120" w:line="360" w:lineRule="auto"/>
        <w:jc w:val="both"/>
        <w:rPr>
          <w:rFonts w:asciiTheme="minorHAnsi" w:hAnsiTheme="minorHAnsi"/>
        </w:rPr>
      </w:pPr>
      <w:r w:rsidRPr="003F6245">
        <w:rPr>
          <w:rFonts w:asciiTheme="minorHAnsi" w:hAnsiTheme="minorHAnsi"/>
        </w:rPr>
        <w:t>Die Wahl von AR(1) auf ersten Differenzen als Hauptspezifikation wird durch drei implementierte Alternativen flankiert: AR(1) auf Niveaus, AR(2) auf ersten Differenzen und AR(1) auf saisonale Differenzen. Jede Alternative misst einen anderen Aspekt der Dynamik — Niveaupersistenz, längeres Gedächtnis bzw. saisonbereinigte Veränderungen. Diese Spezifikationen dienen als Robustheitschecks und werden in Abschnitt 4.4 detailliert dargestellt. Die Wahl von AR(1) auf ersten Differenzen als Hauptmodell folgt dem Parsimonie-Prinzip und der inhaltlichen Passung zu FF1, die nach der Korrekturdynamik von Quartalsveränderungen fragt.</w:t>
      </w:r>
    </w:p>
    <w:p w14:paraId="19C3CD97" w14:textId="77777777" w:rsidR="00DA1F6C" w:rsidRPr="003F6245" w:rsidRDefault="00DA1F6C" w:rsidP="00DA1F6C">
      <w:pPr>
        <w:spacing w:after="120" w:line="360" w:lineRule="auto"/>
        <w:jc w:val="both"/>
        <w:rPr>
          <w:rFonts w:asciiTheme="minorHAnsi" w:hAnsiTheme="minorHAnsi"/>
        </w:rPr>
      </w:pPr>
      <w:r w:rsidRPr="003F6245">
        <w:rPr>
          <w:rFonts w:asciiTheme="minorHAnsi" w:hAnsiTheme="minorHAnsi"/>
        </w:rPr>
        <w:t>Darüber hinaus wurden zwei weitere Modellklassen erwogen, aber nicht implementiert. Ein VAR-Modell würde die simultane Dynamik mehrerer Kennzahlen modellieren; die geringen querschnittlichen Korrelationen der φ₁-Koeffizienten zwischen Kennzahlenkategorien (|ρ| &lt; 0,10; vgl. Kapitel 6) sprechen jedoch gegen relevante dynamische Interdependenzen. GARCH-Modelle adressieren die bedingte Varianz, nicht den bedingten Mittelwert, und zeigen zudem erhebliche Konvergenzprobleme bei Quartalsdaten von Finanzkennzahlen (ARCH-LM-Voraussetzungen nur bei 23–42 % der Unternehmen erfüllt).</w:t>
      </w:r>
    </w:p>
    <w:p w14:paraId="07B2DF78" w14:textId="77777777" w:rsidR="00DA1F6C" w:rsidRPr="003F6245" w:rsidRDefault="00DA1F6C" w:rsidP="00DA1F6C">
      <w:pPr>
        <w:pStyle w:val="berschrift3"/>
        <w:rPr>
          <w:rFonts w:asciiTheme="minorHAnsi" w:hAnsiTheme="minorHAnsi"/>
        </w:rPr>
      </w:pPr>
      <w:r w:rsidRPr="003F6245">
        <w:rPr>
          <w:rFonts w:asciiTheme="minorHAnsi" w:hAnsiTheme="minorHAnsi"/>
        </w:rPr>
        <w:t>Der Uniformitäts-Trade-off</w:t>
      </w:r>
    </w:p>
    <w:p w14:paraId="7433A840" w14:textId="77777777" w:rsidR="00DA1F6C" w:rsidRPr="003F6245" w:rsidRDefault="00DA1F6C" w:rsidP="00DA1F6C">
      <w:pPr>
        <w:spacing w:after="120" w:line="360" w:lineRule="auto"/>
        <w:jc w:val="both"/>
        <w:rPr>
          <w:rFonts w:asciiTheme="minorHAnsi" w:hAnsiTheme="minorHAnsi"/>
        </w:rPr>
      </w:pPr>
      <w:r w:rsidRPr="003F6245">
        <w:rPr>
          <w:rFonts w:asciiTheme="minorHAnsi" w:hAnsiTheme="minorHAnsi"/>
        </w:rPr>
        <w:t>Die Wahl einer einheitlichen Transformation (erste Differenzen) für alle sieben Kennzahlen stellt einen bewussten Trade-off zwischen statistischer Optimalität und querschnittlicher Vergleichbarkeit dar. Metrisch-spezifische Modellselektion — beispielsweise saisonale Differenzen für liquiditätsnahe Kennzahlen oder Niveau-basierte Schätzungen für träge Bilanzpositionen — würde die individuelle Modellanpassung verbessern, aber die zentrale Vergleichsanalyse zwischen Kennzahlenkategorien untergraben.</w:t>
      </w:r>
    </w:p>
    <w:p w14:paraId="7CCA9F26" w14:textId="77777777" w:rsidR="00DA1F6C" w:rsidRPr="003F6245" w:rsidRDefault="00DA1F6C" w:rsidP="00DA1F6C">
      <w:pPr>
        <w:spacing w:after="120" w:line="360" w:lineRule="auto"/>
        <w:jc w:val="both"/>
        <w:rPr>
          <w:rFonts w:asciiTheme="minorHAnsi" w:hAnsiTheme="minorHAnsi"/>
        </w:rPr>
      </w:pPr>
      <w:r w:rsidRPr="003F6245">
        <w:rPr>
          <w:rFonts w:asciiTheme="minorHAnsi" w:hAnsiTheme="minorHAnsi"/>
        </w:rPr>
        <w:lastRenderedPageBreak/>
        <w:t>Die Forschungsfrage FF1 fragt nach „systematischen Dynamik-Unterschieden zwischen Finanzkennzahlen“. Diese Frage erfordert, dass die Dynamik-Maße (φ₁, σ) über Kennzahlen hinweg vergleichbar sind. Würde ROA auf ersten Differenzen und Eigenkapitalquote auf Niveaus modelliert, würden die resultierenden φ₁-Werte konzeptuell Verschiedenes messen — der querschnittliche Vergleich wäre ungültig. Die φ₁-Werte dieser Arbeit messen daher nicht „die wahre Persistenz“ einer Kennzahl, sondern die Autokorrelationsstruktur der Quartalsveränderungen unter einheitlicher Differenzierungsannahme. Der ergänzende Modellvergleich in Abschnitt 4.4 adressiert diese Einschränkung explizit.</w:t>
      </w:r>
    </w:p>
    <w:p w14:paraId="04487769" w14:textId="77777777" w:rsidR="00DA1F6C" w:rsidRPr="003F6245" w:rsidRDefault="00DA1F6C" w:rsidP="00DA1F6C">
      <w:pPr>
        <w:spacing w:after="120" w:line="360" w:lineRule="auto"/>
        <w:jc w:val="both"/>
        <w:rPr>
          <w:rFonts w:asciiTheme="minorHAnsi" w:hAnsiTheme="minorHAnsi"/>
        </w:rPr>
      </w:pPr>
      <w:r w:rsidRPr="003F6245">
        <w:rPr>
          <w:rFonts w:asciiTheme="minorHAnsi" w:hAnsiTheme="minorHAnsi"/>
        </w:rPr>
        <w:t>Die Begründung für dieses Vorgehen wurde in Schritt 1 dargelegt (Fairfield &amp; Yohn, 2001; Dichev &amp; Tang, 2009).</w:t>
      </w:r>
    </w:p>
    <w:p w14:paraId="6B199B55" w14:textId="77777777" w:rsidR="0041350B" w:rsidRPr="003F6245" w:rsidRDefault="00000000">
      <w:pPr>
        <w:pStyle w:val="berschrift3"/>
        <w:rPr>
          <w:rFonts w:asciiTheme="minorHAnsi" w:hAnsiTheme="minorHAnsi"/>
        </w:rPr>
      </w:pPr>
      <w:r w:rsidRPr="003F6245">
        <w:rPr>
          <w:rFonts w:asciiTheme="minorHAnsi" w:hAnsiTheme="minorHAnsi"/>
        </w:rPr>
        <w:t>Alternative AR-Spezifikationen</w:t>
      </w:r>
    </w:p>
    <w:p w14:paraId="506901D1"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Neben dem Hauptmodell (AR(1) auf ersten Differenzen, nachfolgend „diff1“) werden drei alternative Spezifikationen geschätzt, die jeweils eine andere Perspektive auf die Dynamik bieten: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3167"/>
        <w:gridCol w:w="4349"/>
      </w:tblGrid>
      <w:tr w:rsidR="0041350B" w:rsidRPr="003F6245" w14:paraId="03005D5E" w14:textId="77777777" w:rsidTr="003B4046">
        <w:tc>
          <w:tcPr>
            <w:tcW w:w="1636"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7778504" w14:textId="77777777" w:rsidR="0041350B" w:rsidRPr="003F6245" w:rsidRDefault="00000000">
            <w:pPr>
              <w:rPr>
                <w:rFonts w:asciiTheme="minorHAnsi" w:hAnsiTheme="minorHAnsi"/>
              </w:rPr>
            </w:pPr>
            <w:r w:rsidRPr="003F6245">
              <w:rPr>
                <w:rFonts w:asciiTheme="minorHAnsi" w:hAnsiTheme="minorHAnsi"/>
                <w:b/>
                <w:bCs/>
                <w:sz w:val="20"/>
                <w:szCs w:val="20"/>
              </w:rPr>
              <w:t>Variante</w:t>
            </w:r>
          </w:p>
        </w:tc>
        <w:tc>
          <w:tcPr>
            <w:tcW w:w="330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F36DF57" w14:textId="77777777" w:rsidR="0041350B" w:rsidRPr="003F6245" w:rsidRDefault="00000000">
            <w:pPr>
              <w:rPr>
                <w:rFonts w:asciiTheme="minorHAnsi" w:hAnsiTheme="minorHAnsi"/>
              </w:rPr>
            </w:pPr>
            <w:r w:rsidRPr="003F6245">
              <w:rPr>
                <w:rFonts w:asciiTheme="minorHAnsi" w:hAnsiTheme="minorHAnsi"/>
                <w:b/>
                <w:bCs/>
                <w:sz w:val="20"/>
                <w:szCs w:val="20"/>
              </w:rPr>
              <w:t>Modellgleichung</w:t>
            </w:r>
          </w:p>
        </w:tc>
        <w:tc>
          <w:tcPr>
            <w:tcW w:w="4088"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722F43C" w14:textId="77777777" w:rsidR="0041350B" w:rsidRPr="003F6245" w:rsidRDefault="00000000">
            <w:pPr>
              <w:rPr>
                <w:rFonts w:asciiTheme="minorHAnsi" w:hAnsiTheme="minorHAnsi"/>
              </w:rPr>
            </w:pPr>
            <w:r w:rsidRPr="003F6245">
              <w:rPr>
                <w:rFonts w:asciiTheme="minorHAnsi" w:hAnsiTheme="minorHAnsi"/>
                <w:b/>
                <w:bCs/>
                <w:sz w:val="20"/>
                <w:szCs w:val="20"/>
              </w:rPr>
              <w:t>Was wird getestet?</w:t>
            </w:r>
          </w:p>
        </w:tc>
      </w:tr>
      <w:tr w:rsidR="0041350B" w:rsidRPr="003F6245" w14:paraId="60F66B11"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0AA222" w14:textId="77777777" w:rsidR="0041350B" w:rsidRPr="003F6245" w:rsidRDefault="00000000">
            <w:pPr>
              <w:rPr>
                <w:rFonts w:asciiTheme="minorHAnsi" w:hAnsiTheme="minorHAnsi"/>
              </w:rPr>
            </w:pPr>
            <w:r w:rsidRPr="003F6245">
              <w:rPr>
                <w:rFonts w:asciiTheme="minorHAnsi" w:hAnsiTheme="minorHAnsi"/>
                <w:sz w:val="20"/>
                <w:szCs w:val="20"/>
              </w:rPr>
              <w:t>diff1 (Haupt)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FADB07" w14:textId="77777777" w:rsidR="0041350B" w:rsidRPr="003F6245" w:rsidRDefault="00000000">
            <w:pPr>
              <w:rPr>
                <w:rFonts w:asciiTheme="minorHAnsi" w:hAnsiTheme="minorHAnsi"/>
              </w:rPr>
            </w:pPr>
            <w:r w:rsidRPr="003F6245">
              <w:rPr>
                <w:rFonts w:asciiTheme="minorHAnsi" w:hAnsiTheme="minorHAnsi"/>
                <w:sz w:val="20"/>
                <w:szCs w:val="20"/>
              </w:rPr>
              <w:t>ΔY(t) = c + φ₁·ΔY(t−1) + ε(t)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B182DF" w14:textId="77777777" w:rsidR="0041350B" w:rsidRPr="003F6245" w:rsidRDefault="00000000">
            <w:pPr>
              <w:rPr>
                <w:rFonts w:asciiTheme="minorHAnsi" w:hAnsiTheme="minorHAnsi"/>
              </w:rPr>
            </w:pPr>
            <w:r w:rsidRPr="003F6245">
              <w:rPr>
                <w:rFonts w:asciiTheme="minorHAnsi" w:hAnsiTheme="minorHAnsi"/>
                <w:sz w:val="20"/>
                <w:szCs w:val="20"/>
              </w:rPr>
              <w:t>Korrekturgeschwindigkeit der Quartalsveränderungen</w:t>
            </w:r>
          </w:p>
        </w:tc>
      </w:tr>
      <w:tr w:rsidR="0041350B" w:rsidRPr="003F6245" w14:paraId="58FD7B42"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766502" w14:textId="77777777" w:rsidR="0041350B" w:rsidRPr="003F6245" w:rsidRDefault="00000000">
            <w:pPr>
              <w:rPr>
                <w:rFonts w:asciiTheme="minorHAnsi" w:hAnsiTheme="minorHAnsi"/>
              </w:rPr>
            </w:pPr>
            <w:r w:rsidRPr="003F6245">
              <w:rPr>
                <w:rFonts w:asciiTheme="minorHAnsi" w:hAnsiTheme="minorHAnsi"/>
                <w:sz w:val="20"/>
                <w:szCs w:val="20"/>
              </w:rPr>
              <w:t>levels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DE4E8" w14:textId="77777777" w:rsidR="0041350B" w:rsidRPr="003F6245" w:rsidRDefault="00000000">
            <w:pPr>
              <w:rPr>
                <w:rFonts w:asciiTheme="minorHAnsi" w:hAnsiTheme="minorHAnsi"/>
              </w:rPr>
            </w:pPr>
            <w:r w:rsidRPr="003F6245">
              <w:rPr>
                <w:rFonts w:asciiTheme="minorHAnsi" w:hAnsiTheme="minorHAnsi"/>
                <w:sz w:val="20"/>
                <w:szCs w:val="20"/>
              </w:rPr>
              <w:t>Y(t) = c + φ₁·Y(t−1) + ε(t)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35054" w14:textId="77777777" w:rsidR="0041350B" w:rsidRPr="003F6245" w:rsidRDefault="00000000">
            <w:pPr>
              <w:rPr>
                <w:rFonts w:asciiTheme="minorHAnsi" w:hAnsiTheme="minorHAnsi"/>
              </w:rPr>
            </w:pPr>
            <w:r w:rsidRPr="003F6245">
              <w:rPr>
                <w:rFonts w:asciiTheme="minorHAnsi" w:hAnsiTheme="minorHAnsi"/>
                <w:sz w:val="20"/>
                <w:szCs w:val="20"/>
              </w:rPr>
              <w:t>Niveaupersistenz (komplementäre Perspektive)</w:t>
            </w:r>
          </w:p>
        </w:tc>
      </w:tr>
      <w:tr w:rsidR="0041350B" w:rsidRPr="003F6245" w14:paraId="441580E6"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6E7D87" w14:textId="77777777" w:rsidR="0041350B" w:rsidRPr="003F6245" w:rsidRDefault="00000000">
            <w:pPr>
              <w:rPr>
                <w:rFonts w:asciiTheme="minorHAnsi" w:hAnsiTheme="minorHAnsi"/>
              </w:rPr>
            </w:pPr>
            <w:r w:rsidRPr="003F6245">
              <w:rPr>
                <w:rFonts w:asciiTheme="minorHAnsi" w:hAnsiTheme="minorHAnsi"/>
                <w:sz w:val="20"/>
                <w:szCs w:val="20"/>
              </w:rPr>
              <w:t>AR(2) diff1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262C3" w14:textId="77777777" w:rsidR="0041350B" w:rsidRPr="003F6245" w:rsidRDefault="00000000">
            <w:pPr>
              <w:rPr>
                <w:rFonts w:asciiTheme="minorHAnsi" w:hAnsiTheme="minorHAnsi"/>
              </w:rPr>
            </w:pPr>
            <w:r w:rsidRPr="003F6245">
              <w:rPr>
                <w:rFonts w:asciiTheme="minorHAnsi" w:hAnsiTheme="minorHAnsi"/>
                <w:sz w:val="20"/>
                <w:szCs w:val="20"/>
              </w:rPr>
              <w:t>ΔY(t) = c + φ₁·ΔY(t−1) + φ₂·ΔY(t−2) + ε(t)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238797" w14:textId="77777777" w:rsidR="0041350B" w:rsidRPr="003F6245" w:rsidRDefault="00000000">
            <w:pPr>
              <w:rPr>
                <w:rFonts w:asciiTheme="minorHAnsi" w:hAnsiTheme="minorHAnsi"/>
              </w:rPr>
            </w:pPr>
            <w:r w:rsidRPr="003F6245">
              <w:rPr>
                <w:rFonts w:asciiTheme="minorHAnsi" w:hAnsiTheme="minorHAnsi"/>
                <w:sz w:val="20"/>
                <w:szCs w:val="20"/>
              </w:rPr>
              <w:t>Zusätzliche Korrekturstruktur im zweiten Lag</w:t>
            </w:r>
          </w:p>
        </w:tc>
      </w:tr>
      <w:tr w:rsidR="0041350B" w:rsidRPr="003F6245" w14:paraId="75BB3B66"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ED79E" w14:textId="77777777" w:rsidR="0041350B" w:rsidRPr="003F6245" w:rsidRDefault="00000000">
            <w:pPr>
              <w:rPr>
                <w:rFonts w:asciiTheme="minorHAnsi" w:hAnsiTheme="minorHAnsi"/>
              </w:rPr>
            </w:pPr>
            <w:r w:rsidRPr="003F6245">
              <w:rPr>
                <w:rFonts w:asciiTheme="minorHAnsi" w:hAnsiTheme="minorHAnsi"/>
                <w:sz w:val="20"/>
                <w:szCs w:val="20"/>
              </w:rPr>
              <w:t>diff4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A276A1" w14:textId="77777777" w:rsidR="0041350B" w:rsidRPr="003F6245" w:rsidRDefault="00000000">
            <w:pPr>
              <w:rPr>
                <w:rFonts w:asciiTheme="minorHAnsi" w:hAnsiTheme="minorHAnsi"/>
              </w:rPr>
            </w:pPr>
            <w:r w:rsidRPr="003F6245">
              <w:rPr>
                <w:rFonts w:asciiTheme="minorHAnsi" w:hAnsiTheme="minorHAnsi"/>
                <w:sz w:val="20"/>
                <w:szCs w:val="20"/>
              </w:rPr>
              <w:t>Δ₄Y(t) = c + φ₁·Δ₄Y(t−1) + ε(t)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ADDB1A" w14:textId="77777777" w:rsidR="0041350B" w:rsidRPr="003F6245" w:rsidRDefault="00000000">
            <w:pPr>
              <w:rPr>
                <w:rFonts w:asciiTheme="minorHAnsi" w:hAnsiTheme="minorHAnsi"/>
              </w:rPr>
            </w:pPr>
            <w:r w:rsidRPr="003F6245">
              <w:rPr>
                <w:rFonts w:asciiTheme="minorHAnsi" w:hAnsiTheme="minorHAnsi"/>
                <w:sz w:val="20"/>
                <w:szCs w:val="20"/>
              </w:rPr>
              <w:t>Saisonale Effekte (Vorjahresvergleich)</w:t>
            </w:r>
          </w:p>
        </w:tc>
      </w:tr>
    </w:tbl>
    <w:p w14:paraId="2AE2B8C8" w14:textId="77777777" w:rsidR="003B4046" w:rsidRPr="003F6245" w:rsidRDefault="003B4046">
      <w:pPr>
        <w:spacing w:after="120" w:line="360" w:lineRule="auto"/>
        <w:jc w:val="both"/>
        <w:rPr>
          <w:rFonts w:asciiTheme="minorHAnsi" w:hAnsiTheme="minorHAnsi"/>
          <w:sz w:val="20"/>
          <w:szCs w:val="20"/>
        </w:rPr>
      </w:pPr>
    </w:p>
    <w:p w14:paraId="56D7ACBE"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Die Levels-Variante beantwortet die komplementäre Frage nach der Niveaupersistenz. Eine Kennzahl mit hohem φ₁ auf Niveaus und niedrigem |φ₁| auf Differenzen — wie die Eigenkapitalquote (φ₁,levels = 0,93; φ₁,diff1 = −0,04) — hat ein sehr stabiles Niveau, dessen Quartalsveränderungen nahezu unkorreliert sind. Das AR(2)-Modell testet, ob ein einzelner Lag die Autokorrelationsstruktur ausreichend erfasst. Die saisonale Differenz Δ₄Y eliminiert mögliche Saisonmuster und prüft, ob die negativen φ₁-Werte auf ersten Differenzen teilweise saisonale Artefakte sind. Da Δ₄Y vier Quartale statt eines verbraucht, reduziert sich die effektive Zeitreihenlänge auf T = 95 (nach Differenzierung und einem AR-Lag).</w:t>
      </w:r>
      <w:r w:rsidRPr="003F6245">
        <w:rPr>
          <w:rFonts w:asciiTheme="minorHAnsi" w:hAnsiTheme="minorHAnsi"/>
          <w:noProof/>
        </w:rPr>
        <w:t xml:space="preserve"> </w:t>
      </w:r>
    </w:p>
    <w:p w14:paraId="2B0AD7EE" w14:textId="77777777" w:rsidR="0041350B" w:rsidRPr="003F6245" w:rsidRDefault="00000000">
      <w:pPr>
        <w:spacing w:after="120" w:line="360" w:lineRule="auto"/>
        <w:jc w:val="both"/>
        <w:rPr>
          <w:rFonts w:asciiTheme="minorHAnsi" w:hAnsiTheme="minorHAnsi"/>
          <w:noProof/>
        </w:rPr>
      </w:pPr>
      <w:r w:rsidRPr="003F6245">
        <w:rPr>
          <w:rFonts w:asciiTheme="minorHAnsi" w:hAnsiTheme="minorHAnsi"/>
        </w:rPr>
        <w:lastRenderedPageBreak/>
        <w:t>Die Robustheitshypothese lautet: Wenn die Drei-Schichten-Hierarchie (Profitabilität &gt; Liquidität &gt; Kapitalstruktur) unter allen vier Spezifikationen in ihrer Rangordnung stabil bleibt, ist sie eine robuste Eigenschaft der Daten und kein Artefakt der Transformationswahl.</w:t>
      </w:r>
      <w:r w:rsidRPr="003F6245">
        <w:rPr>
          <w:rFonts w:asciiTheme="minorHAnsi" w:hAnsiTheme="minorHAnsi"/>
          <w:noProof/>
        </w:rPr>
        <w:t xml:space="preserve"> </w:t>
      </w:r>
      <w:r w:rsidRPr="003F6245">
        <w:rPr>
          <w:rFonts w:asciiTheme="minorHAnsi" w:hAnsiTheme="minorHAnsi"/>
          <w:noProof/>
        </w:rPr>
        <w:drawing>
          <wp:inline distT="0" distB="0" distL="0" distR="0" wp14:anchorId="5CCE3C21" wp14:editId="2FFF4709">
            <wp:extent cx="5502910" cy="1661160"/>
            <wp:effectExtent l="0" t="0" r="0" b="2540"/>
            <wp:docPr id="2072927751" name="Grafik 1" descr="Vorschau in Originalgröß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rschau in Originalgröß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2910" cy="1661160"/>
                    </a:xfrm>
                    <a:prstGeom prst="rect">
                      <a:avLst/>
                    </a:prstGeom>
                    <a:noFill/>
                    <a:ln>
                      <a:noFill/>
                    </a:ln>
                  </pic:spPr>
                </pic:pic>
              </a:graphicData>
            </a:graphic>
          </wp:inline>
        </w:drawing>
      </w:r>
    </w:p>
    <w:p w14:paraId="5A0A964F" w14:textId="77777777" w:rsidR="00195107" w:rsidRPr="003F6245" w:rsidRDefault="00195107">
      <w:pPr>
        <w:spacing w:after="120" w:line="360" w:lineRule="auto"/>
        <w:jc w:val="both"/>
        <w:rPr>
          <w:rFonts w:asciiTheme="minorHAnsi" w:hAnsiTheme="minorHAnsi"/>
          <w:sz w:val="20"/>
          <w:szCs w:val="20"/>
        </w:rPr>
      </w:pPr>
      <w:r w:rsidRPr="003F6245">
        <w:rPr>
          <w:rFonts w:asciiTheme="minorHAnsi" w:hAnsiTheme="minorHAnsi"/>
        </w:rPr>
        <w:t>Tabelle zeigt die φ₁-Mediane aller sieben Kennzahlen unter den vier Spezifikationen. Die Ergebnisse bestätigen ein konsistentes Muster: Bei den Profitabilitätskennzahlen korrespondiert die starke Quartalskorrektur (diff1: −0,43 bis −0,46) mit niedriger Niveaupersistenz (levels: 0,10–0,57) und geringer Persistenz der Jahresveränderungen (diff4: 0,12–0,30). Bei den Kapitalstruktur-Kennzahlen ist das Bild invers: Kaum Quartalskorrektur (diff1: nahe null) bei extrem hoher Niveaupersistenz (levels: 0,87–0,93) und persistenten Jahresveränderungen (diff4: 0,66–0,72). Die Current Ratio liegt in allen Spezifikationen zwischen diesen beiden Gruppen. Die Drei-Schichten-Hierarchie ist somit kein Artefakt der Transformationswahl, sondern manifestiert sich unabhängig von der gewählten Modellspezifikation.</w:t>
      </w:r>
    </w:p>
    <w:p w14:paraId="63352E29" w14:textId="77777777" w:rsidR="0041350B" w:rsidRPr="003F6245" w:rsidRDefault="00000000">
      <w:pPr>
        <w:pStyle w:val="berschrift3"/>
        <w:rPr>
          <w:rFonts w:asciiTheme="minorHAnsi" w:hAnsiTheme="minorHAnsi"/>
        </w:rPr>
      </w:pPr>
      <w:r w:rsidRPr="003F6245">
        <w:rPr>
          <w:rFonts w:asciiTheme="minorHAnsi" w:hAnsiTheme="minorHAnsi"/>
        </w:rPr>
        <w:t>Variable Stichproben</w:t>
      </w:r>
    </w:p>
    <w:p w14:paraId="0A38D674"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Die Abhängigkeit der Ergebnisse vom Vollständigkeitsfilter wird durch vier Stichproben mit unterschiedlichen Mindest-Quartalsanforderungen getestet (Tabelle). Alle Stichproben durchlaufen identische Aufbereitungsschritte (Outlier-Detection, NaN-Filter, Winsorisierung); der einzige Unterschied ist die geforderte Mindestanzahl an Quartalen.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13"/>
        <w:gridCol w:w="2013"/>
      </w:tblGrid>
      <w:tr w:rsidR="0041350B" w:rsidRPr="003F6245" w14:paraId="501EF2F3" w14:textId="77777777">
        <w:tc>
          <w:tcPr>
            <w:tcW w:w="25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187E7C6" w14:textId="77777777" w:rsidR="0041350B" w:rsidRPr="003F6245" w:rsidRDefault="00000000">
            <w:pPr>
              <w:rPr>
                <w:rFonts w:asciiTheme="minorHAnsi" w:hAnsiTheme="minorHAnsi"/>
              </w:rPr>
            </w:pPr>
            <w:r w:rsidRPr="003F6245">
              <w:rPr>
                <w:rFonts w:asciiTheme="minorHAnsi" w:hAnsiTheme="minorHAnsi"/>
                <w:b/>
                <w:bCs/>
                <w:sz w:val="20"/>
                <w:szCs w:val="20"/>
              </w:rPr>
              <w:t>Stichprobe</w:t>
            </w:r>
          </w:p>
        </w:tc>
        <w:tc>
          <w:tcPr>
            <w:tcW w:w="25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5D36349" w14:textId="77777777" w:rsidR="0041350B" w:rsidRPr="003F6245" w:rsidRDefault="00000000">
            <w:pPr>
              <w:rPr>
                <w:rFonts w:asciiTheme="minorHAnsi" w:hAnsiTheme="minorHAnsi"/>
              </w:rPr>
            </w:pPr>
            <w:r w:rsidRPr="003F6245">
              <w:rPr>
                <w:rFonts w:asciiTheme="minorHAnsi" w:hAnsiTheme="minorHAnsi"/>
                <w:b/>
                <w:bCs/>
                <w:sz w:val="20"/>
                <w:szCs w:val="20"/>
              </w:rPr>
              <w:t>Min. Quartale</w:t>
            </w:r>
          </w:p>
        </w:tc>
        <w:tc>
          <w:tcPr>
            <w:tcW w:w="2013"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9949E84" w14:textId="77777777" w:rsidR="0041350B" w:rsidRPr="003F6245" w:rsidRDefault="00000000">
            <w:pPr>
              <w:rPr>
                <w:rFonts w:asciiTheme="minorHAnsi" w:hAnsiTheme="minorHAnsi"/>
              </w:rPr>
            </w:pPr>
            <w:r w:rsidRPr="003F6245">
              <w:rPr>
                <w:rFonts w:asciiTheme="minorHAnsi" w:hAnsiTheme="minorHAnsi"/>
                <w:b/>
                <w:bCs/>
                <w:sz w:val="20"/>
                <w:szCs w:val="20"/>
              </w:rPr>
              <w:t>Unternehmen</w:t>
            </w:r>
          </w:p>
        </w:tc>
        <w:tc>
          <w:tcPr>
            <w:tcW w:w="2013"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592143C" w14:textId="77777777" w:rsidR="0041350B" w:rsidRPr="003F6245" w:rsidRDefault="00000000">
            <w:pPr>
              <w:rPr>
                <w:rFonts w:asciiTheme="minorHAnsi" w:hAnsiTheme="minorHAnsi"/>
              </w:rPr>
            </w:pPr>
            <w:r w:rsidRPr="003F6245">
              <w:rPr>
                <w:rFonts w:asciiTheme="minorHAnsi" w:hAnsiTheme="minorHAnsi"/>
                <w:b/>
                <w:bCs/>
                <w:sz w:val="20"/>
                <w:szCs w:val="20"/>
              </w:rPr>
              <w:t>AR-Schätzungen</w:t>
            </w:r>
          </w:p>
        </w:tc>
      </w:tr>
      <w:tr w:rsidR="0041350B" w:rsidRPr="003F6245" w14:paraId="7D5654B5"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5B341C" w14:textId="77777777" w:rsidR="0041350B" w:rsidRPr="003F6245" w:rsidRDefault="00000000">
            <w:pPr>
              <w:rPr>
                <w:rFonts w:asciiTheme="minorHAnsi" w:hAnsiTheme="minorHAnsi"/>
              </w:rPr>
            </w:pPr>
            <w:r w:rsidRPr="003F6245">
              <w:rPr>
                <w:rFonts w:asciiTheme="minorHAnsi" w:hAnsiTheme="minorHAnsi"/>
                <w:sz w:val="20"/>
                <w:szCs w:val="20"/>
              </w:rPr>
              <w:t>100Q (Hauptanalyse)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EAFC3A" w14:textId="77777777" w:rsidR="0041350B" w:rsidRPr="003F6245" w:rsidRDefault="00000000">
            <w:pPr>
              <w:rPr>
                <w:rFonts w:asciiTheme="minorHAnsi" w:hAnsiTheme="minorHAnsi"/>
              </w:rPr>
            </w:pPr>
            <w:r w:rsidRPr="003F6245">
              <w:rPr>
                <w:rFonts w:asciiTheme="minorHAnsi" w:hAnsiTheme="minorHAnsi"/>
                <w:sz w:val="20"/>
                <w:szCs w:val="20"/>
              </w:rPr>
              <w:t>100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DAFFAF" w14:textId="77777777" w:rsidR="0041350B" w:rsidRPr="003F6245" w:rsidRDefault="00000000">
            <w:pPr>
              <w:rPr>
                <w:rFonts w:asciiTheme="minorHAnsi" w:hAnsiTheme="minorHAnsi"/>
              </w:rPr>
            </w:pPr>
            <w:r w:rsidRPr="003F6245">
              <w:rPr>
                <w:rFonts w:asciiTheme="minorHAnsi" w:hAnsiTheme="minorHAnsi"/>
                <w:sz w:val="20"/>
                <w:szCs w:val="20"/>
              </w:rPr>
              <w:t>932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8FA269" w14:textId="77777777" w:rsidR="0041350B" w:rsidRPr="003F6245" w:rsidRDefault="00000000">
            <w:pPr>
              <w:rPr>
                <w:rFonts w:asciiTheme="minorHAnsi" w:hAnsiTheme="minorHAnsi"/>
              </w:rPr>
            </w:pPr>
            <w:r w:rsidRPr="003F6245">
              <w:rPr>
                <w:rFonts w:asciiTheme="minorHAnsi" w:hAnsiTheme="minorHAnsi"/>
                <w:sz w:val="20"/>
                <w:szCs w:val="20"/>
              </w:rPr>
              <w:t>6.524</w:t>
            </w:r>
          </w:p>
        </w:tc>
      </w:tr>
      <w:tr w:rsidR="0041350B" w:rsidRPr="003F6245" w14:paraId="76C5F93F"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FC974A" w14:textId="77777777" w:rsidR="0041350B" w:rsidRPr="003F6245" w:rsidRDefault="00000000">
            <w:pPr>
              <w:rPr>
                <w:rFonts w:asciiTheme="minorHAnsi" w:hAnsiTheme="minorHAnsi"/>
              </w:rPr>
            </w:pPr>
            <w:r w:rsidRPr="003F6245">
              <w:rPr>
                <w:rFonts w:asciiTheme="minorHAnsi" w:hAnsiTheme="minorHAnsi"/>
                <w:sz w:val="20"/>
                <w:szCs w:val="20"/>
              </w:rPr>
              <w:t>80Q</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44F588" w14:textId="77777777" w:rsidR="0041350B" w:rsidRPr="003F6245" w:rsidRDefault="00000000">
            <w:pPr>
              <w:rPr>
                <w:rFonts w:asciiTheme="minorHAnsi" w:hAnsiTheme="minorHAnsi"/>
              </w:rPr>
            </w:pPr>
            <w:r w:rsidRPr="003F6245">
              <w:rPr>
                <w:rFonts w:asciiTheme="minorHAnsi" w:hAnsiTheme="minorHAnsi"/>
                <w:sz w:val="20"/>
                <w:szCs w:val="20"/>
              </w:rPr>
              <w:t>80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8C41CA" w14:textId="77777777" w:rsidR="0041350B" w:rsidRPr="003F6245" w:rsidRDefault="00000000">
            <w:pPr>
              <w:rPr>
                <w:rFonts w:asciiTheme="minorHAnsi" w:hAnsiTheme="minorHAnsi"/>
              </w:rPr>
            </w:pPr>
            <w:r w:rsidRPr="003F6245">
              <w:rPr>
                <w:rFonts w:asciiTheme="minorHAnsi" w:hAnsiTheme="minorHAnsi"/>
                <w:sz w:val="20"/>
                <w:szCs w:val="20"/>
              </w:rPr>
              <w:t>1.231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C4C4FC" w14:textId="77777777" w:rsidR="0041350B" w:rsidRPr="003F6245" w:rsidRDefault="00000000">
            <w:pPr>
              <w:rPr>
                <w:rFonts w:asciiTheme="minorHAnsi" w:hAnsiTheme="minorHAnsi"/>
              </w:rPr>
            </w:pPr>
            <w:r w:rsidRPr="003F6245">
              <w:rPr>
                <w:rFonts w:asciiTheme="minorHAnsi" w:hAnsiTheme="minorHAnsi"/>
                <w:sz w:val="20"/>
                <w:szCs w:val="20"/>
              </w:rPr>
              <w:t>8.617</w:t>
            </w:r>
          </w:p>
        </w:tc>
      </w:tr>
      <w:tr w:rsidR="0041350B" w:rsidRPr="003F6245" w14:paraId="0AFDB375"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F7CFEA" w14:textId="77777777" w:rsidR="0041350B" w:rsidRPr="003F6245" w:rsidRDefault="00000000">
            <w:pPr>
              <w:rPr>
                <w:rFonts w:asciiTheme="minorHAnsi" w:hAnsiTheme="minorHAnsi"/>
              </w:rPr>
            </w:pPr>
            <w:r w:rsidRPr="003F6245">
              <w:rPr>
                <w:rFonts w:asciiTheme="minorHAnsi" w:hAnsiTheme="minorHAnsi"/>
                <w:sz w:val="20"/>
                <w:szCs w:val="20"/>
              </w:rPr>
              <w:lastRenderedPageBreak/>
              <w:t>60Q</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EFF861" w14:textId="77777777" w:rsidR="0041350B" w:rsidRPr="003F6245" w:rsidRDefault="00000000">
            <w:pPr>
              <w:rPr>
                <w:rFonts w:asciiTheme="minorHAnsi" w:hAnsiTheme="minorHAnsi"/>
              </w:rPr>
            </w:pPr>
            <w:r w:rsidRPr="003F6245">
              <w:rPr>
                <w:rFonts w:asciiTheme="minorHAnsi" w:hAnsiTheme="minorHAnsi"/>
                <w:sz w:val="20"/>
                <w:szCs w:val="20"/>
              </w:rPr>
              <w:t>60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8A02B" w14:textId="77777777" w:rsidR="0041350B" w:rsidRPr="003F6245" w:rsidRDefault="00000000">
            <w:pPr>
              <w:rPr>
                <w:rFonts w:asciiTheme="minorHAnsi" w:hAnsiTheme="minorHAnsi"/>
              </w:rPr>
            </w:pPr>
            <w:r w:rsidRPr="003F6245">
              <w:rPr>
                <w:rFonts w:asciiTheme="minorHAnsi" w:hAnsiTheme="minorHAnsi"/>
                <w:sz w:val="20"/>
                <w:szCs w:val="20"/>
              </w:rPr>
              <w:t>1.855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C55FED" w14:textId="77777777" w:rsidR="0041350B" w:rsidRPr="003F6245" w:rsidRDefault="00000000">
            <w:pPr>
              <w:rPr>
                <w:rFonts w:asciiTheme="minorHAnsi" w:hAnsiTheme="minorHAnsi"/>
              </w:rPr>
            </w:pPr>
            <w:r w:rsidRPr="003F6245">
              <w:rPr>
                <w:rFonts w:asciiTheme="minorHAnsi" w:hAnsiTheme="minorHAnsi"/>
                <w:sz w:val="20"/>
                <w:szCs w:val="20"/>
              </w:rPr>
              <w:t>12.985</w:t>
            </w:r>
          </w:p>
        </w:tc>
      </w:tr>
      <w:tr w:rsidR="0041350B" w:rsidRPr="003F6245" w14:paraId="243FAED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DA575C" w14:textId="77777777" w:rsidR="0041350B" w:rsidRPr="003F6245" w:rsidRDefault="00000000">
            <w:pPr>
              <w:rPr>
                <w:rFonts w:asciiTheme="minorHAnsi" w:hAnsiTheme="minorHAnsi"/>
              </w:rPr>
            </w:pPr>
            <w:r w:rsidRPr="003F6245">
              <w:rPr>
                <w:rFonts w:asciiTheme="minorHAnsi" w:hAnsiTheme="minorHAnsi"/>
                <w:sz w:val="20"/>
                <w:szCs w:val="20"/>
              </w:rPr>
              <w:t>40Q</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645AD" w14:textId="77777777" w:rsidR="0041350B" w:rsidRPr="003F6245" w:rsidRDefault="00000000">
            <w:pPr>
              <w:rPr>
                <w:rFonts w:asciiTheme="minorHAnsi" w:hAnsiTheme="minorHAnsi"/>
              </w:rPr>
            </w:pPr>
            <w:r w:rsidRPr="003F6245">
              <w:rPr>
                <w:rFonts w:asciiTheme="minorHAnsi" w:hAnsiTheme="minorHAnsi"/>
                <w:sz w:val="20"/>
                <w:szCs w:val="20"/>
              </w:rPr>
              <w:t>40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BBF536" w14:textId="77777777" w:rsidR="0041350B" w:rsidRPr="003F6245" w:rsidRDefault="00000000">
            <w:pPr>
              <w:rPr>
                <w:rFonts w:asciiTheme="minorHAnsi" w:hAnsiTheme="minorHAnsi"/>
              </w:rPr>
            </w:pPr>
            <w:r w:rsidRPr="003F6245">
              <w:rPr>
                <w:rFonts w:asciiTheme="minorHAnsi" w:hAnsiTheme="minorHAnsi"/>
                <w:sz w:val="20"/>
                <w:szCs w:val="20"/>
              </w:rPr>
              <w:t>2.356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AD9BB" w14:textId="77777777" w:rsidR="0041350B" w:rsidRPr="003F6245" w:rsidRDefault="00000000">
            <w:pPr>
              <w:rPr>
                <w:rFonts w:asciiTheme="minorHAnsi" w:hAnsiTheme="minorHAnsi"/>
              </w:rPr>
            </w:pPr>
            <w:r w:rsidRPr="003F6245">
              <w:rPr>
                <w:rFonts w:asciiTheme="minorHAnsi" w:hAnsiTheme="minorHAnsi"/>
                <w:sz w:val="20"/>
                <w:szCs w:val="20"/>
              </w:rPr>
              <w:t>16.492</w:t>
            </w:r>
          </w:p>
        </w:tc>
      </w:tr>
    </w:tbl>
    <w:p w14:paraId="3A23CBD2" w14:textId="77777777" w:rsidR="00195107" w:rsidRPr="003F6245" w:rsidRDefault="00195107">
      <w:pPr>
        <w:spacing w:after="120" w:line="360" w:lineRule="auto"/>
        <w:jc w:val="both"/>
        <w:rPr>
          <w:rFonts w:asciiTheme="minorHAnsi" w:hAnsiTheme="minorHAnsi"/>
          <w:i/>
          <w:iCs/>
          <w:sz w:val="20"/>
          <w:szCs w:val="20"/>
        </w:rPr>
      </w:pPr>
    </w:p>
    <w:p w14:paraId="0A4EFCFA"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Der Vergleich über Stichproben adressiert direkt den Survivorship Bias: Die erweiterten Stichproben enthalten Unternehmen, die erst nach 2000 gelistet oder vor 2024 delistet wurden. Wenn die φ₁-Mediane dennoch stabil bleiben, ist der Bias für die Kernbefunde irrelevant.</w:t>
      </w:r>
    </w:p>
    <w:p w14:paraId="134BB374" w14:textId="77777777" w:rsidR="0041350B" w:rsidRPr="003F6245" w:rsidRDefault="00000000">
      <w:pPr>
        <w:pStyle w:val="berschrift3"/>
        <w:rPr>
          <w:rFonts w:asciiTheme="minorHAnsi" w:hAnsiTheme="minorHAnsi"/>
        </w:rPr>
      </w:pPr>
      <w:r w:rsidRPr="003F6245">
        <w:rPr>
          <w:rFonts w:asciiTheme="minorHAnsi" w:hAnsiTheme="minorHAnsi"/>
        </w:rPr>
        <w:t>Weitere Robustheitschecks</w:t>
      </w:r>
    </w:p>
    <w:p w14:paraId="5A301832" w14:textId="77777777" w:rsidR="0041350B" w:rsidRPr="003F6245" w:rsidRDefault="00000000">
      <w:pPr>
        <w:spacing w:after="120" w:line="360" w:lineRule="auto"/>
        <w:jc w:val="both"/>
        <w:rPr>
          <w:rFonts w:asciiTheme="minorHAnsi" w:hAnsiTheme="minorHAnsi"/>
        </w:rPr>
      </w:pPr>
      <w:r w:rsidRPr="003F6245">
        <w:rPr>
          <w:rFonts w:asciiTheme="minorHAnsi" w:hAnsiTheme="minorHAnsi"/>
        </w:rPr>
        <w:t>Zwei weitere Robustheitsdimensionen ergänzen das Design: Erstens wird in Kapitel 7 eine separate Analyse des Finanzsektors durchgeführt, um die Auswirkungen der Sektorexklusion zu quantifizieren. Zweitens wird eine K-Means-Clusteranalyse (k = 2) auf den AR-Parametern als datengetriebener Vergleich zur theoriegeleiteten Quadrantenklassifikation eingesetzt.</w:t>
      </w:r>
    </w:p>
    <w:p w14:paraId="021D12B4" w14:textId="77777777" w:rsidR="0041350B" w:rsidRPr="003F6245" w:rsidRDefault="00000000">
      <w:pPr>
        <w:rPr>
          <w:rFonts w:asciiTheme="minorHAnsi" w:hAnsiTheme="minorHAnsi"/>
        </w:rPr>
      </w:pPr>
      <w:r w:rsidRPr="003F6245">
        <w:rPr>
          <w:rFonts w:asciiTheme="minorHAnsi" w:hAnsiTheme="minorHAnsi"/>
        </w:rPr>
        <w:br w:type="page"/>
      </w:r>
    </w:p>
    <w:p w14:paraId="30634361" w14:textId="77777777" w:rsidR="00151490" w:rsidRPr="003F6245" w:rsidRDefault="00151490" w:rsidP="00151490">
      <w:pPr>
        <w:pStyle w:val="berschrift2"/>
        <w:rPr>
          <w:rFonts w:asciiTheme="minorHAnsi" w:hAnsiTheme="minorHAnsi"/>
        </w:rPr>
      </w:pPr>
      <w:r w:rsidRPr="003F6245">
        <w:rPr>
          <w:rFonts w:asciiTheme="minorHAnsi" w:hAnsiTheme="minorHAnsi"/>
        </w:rPr>
        <w:lastRenderedPageBreak/>
        <w:t>4.5 Statistische Testverfahren</w:t>
      </w:r>
    </w:p>
    <w:p w14:paraId="6B1CBEB9" w14:textId="77777777" w:rsidR="00151490" w:rsidRPr="003F6245" w:rsidRDefault="00151490" w:rsidP="00151490">
      <w:pPr>
        <w:spacing w:after="120" w:line="360" w:lineRule="auto"/>
        <w:jc w:val="both"/>
        <w:rPr>
          <w:rFonts w:asciiTheme="minorHAnsi" w:hAnsiTheme="minorHAnsi"/>
        </w:rPr>
      </w:pPr>
      <w:r w:rsidRPr="003F6245">
        <w:rPr>
          <w:rFonts w:asciiTheme="minorHAnsi" w:hAnsiTheme="minorHAnsi"/>
        </w:rPr>
        <w:t>Die drei Forschungsfragen erfordern unterschiedliche statistische Testverfahren, die in diesem Abschnitt überblicksartig vorgestellt werden. Detailliertere Erläuterungen erfolgen jeweils in den Ergebniskapiteln.</w:t>
      </w:r>
    </w:p>
    <w:p w14:paraId="48CDB1EC" w14:textId="77777777" w:rsidR="00151490" w:rsidRPr="003F6245" w:rsidRDefault="00151490" w:rsidP="00151490">
      <w:pPr>
        <w:pStyle w:val="berschrift3"/>
        <w:rPr>
          <w:rFonts w:asciiTheme="minorHAnsi" w:hAnsiTheme="minorHAnsi"/>
        </w:rPr>
      </w:pPr>
      <w:r w:rsidRPr="003F6245">
        <w:rPr>
          <w:rFonts w:asciiTheme="minorHAnsi" w:hAnsiTheme="minorHAnsi"/>
        </w:rPr>
        <w:t>FF1: Deskription und Verteilungsvergleiche</w:t>
      </w:r>
    </w:p>
    <w:p w14:paraId="162F882C" w14:textId="77777777" w:rsidR="00151490" w:rsidRPr="003F6245" w:rsidRDefault="00151490" w:rsidP="00151490">
      <w:pPr>
        <w:spacing w:after="120" w:line="360" w:lineRule="auto"/>
        <w:jc w:val="both"/>
        <w:rPr>
          <w:rFonts w:asciiTheme="minorHAnsi" w:hAnsiTheme="minorHAnsi"/>
        </w:rPr>
      </w:pPr>
      <w:r w:rsidRPr="003F6245">
        <w:rPr>
          <w:rFonts w:asciiTheme="minorHAnsi" w:hAnsiTheme="minorHAnsi"/>
        </w:rPr>
        <w:t>Für FF1 stehen deskriptive Statistiken (Median, Interquartilsabstand, Signifikanzraten, R²-Verteilungen) im Vordergrund. Die zentrale These — die Drei-Schichten-Hierarchie — wird primär visuell und durch Vergleich der Mediane etabliert. Ergänzend werden Mann-Whitney-U-Tests eingesetzt, um paarweise Unterschiede in den φ₁-Verteilungen zwischen Kennzahlenpaaren auf statistische Signifikanz zu prüfen. Der Mann-Whitney-Test ist als nichtparametrischer Test robust gegenüber Verletzungen der Normalverteilungsannahme, die bei AR-Koeffizienten typisch ist.</w:t>
      </w:r>
    </w:p>
    <w:p w14:paraId="3887C6DE" w14:textId="77777777" w:rsidR="00000000" w:rsidRPr="003F6245" w:rsidRDefault="00000000" w:rsidP="00AA1234">
      <w:pPr>
        <w:pStyle w:val="berschrift3"/>
        <w:rPr>
          <w:rFonts w:asciiTheme="minorHAnsi" w:hAnsiTheme="minorHAnsi"/>
        </w:rPr>
      </w:pPr>
      <w:r w:rsidRPr="003F6245">
        <w:rPr>
          <w:rFonts w:asciiTheme="minorHAnsi" w:hAnsiTheme="minorHAnsi"/>
        </w:rPr>
        <w:t>FF1: Systematische Dynamik-Unterschiede von Finanzkennzahlen</w:t>
      </w:r>
    </w:p>
    <w:p w14:paraId="4BE5060B" w14:textId="77777777" w:rsidR="00000000" w:rsidRPr="003F6245" w:rsidRDefault="00000000" w:rsidP="00AA1234">
      <w:pPr>
        <w:spacing w:after="120" w:line="360" w:lineRule="auto"/>
        <w:jc w:val="both"/>
        <w:rPr>
          <w:rFonts w:asciiTheme="minorHAnsi" w:hAnsiTheme="minorHAnsi"/>
        </w:rPr>
      </w:pPr>
      <w:r w:rsidRPr="003F6245">
        <w:rPr>
          <w:rFonts w:asciiTheme="minorHAnsi" w:hAnsiTheme="minorHAnsi"/>
          <w:b/>
        </w:rPr>
        <w:t>1. Methodik</w:t>
      </w:r>
    </w:p>
    <w:p w14:paraId="2C25B435" w14:textId="77777777" w:rsidR="00000000" w:rsidRPr="003F6245" w:rsidRDefault="00000000" w:rsidP="00AA1234">
      <w:pPr>
        <w:spacing w:after="120" w:line="360" w:lineRule="auto"/>
        <w:jc w:val="both"/>
        <w:rPr>
          <w:rFonts w:asciiTheme="minorHAnsi" w:hAnsiTheme="minorHAnsi"/>
        </w:rPr>
      </w:pPr>
      <w:r w:rsidRPr="003F6245">
        <w:rPr>
          <w:rFonts w:asciiTheme="minorHAnsi" w:hAnsiTheme="minorHAnsi"/>
        </w:rPr>
        <w:t>Das AR(1)-Modell wird auf die erste Differenz jeder Kennzahl angewendet:</w:t>
      </w:r>
    </w:p>
    <w:p w14:paraId="3D7F116C" w14:textId="77777777" w:rsidR="00000000" w:rsidRPr="003F6245" w:rsidRDefault="00000000" w:rsidP="00AA1234">
      <w:pPr>
        <w:spacing w:after="120" w:line="360" w:lineRule="auto"/>
        <w:jc w:val="both"/>
        <w:rPr>
          <w:rFonts w:asciiTheme="minorHAnsi" w:hAnsiTheme="minorHAnsi"/>
        </w:rPr>
      </w:pPr>
      <w:r w:rsidRPr="003F6245">
        <w:rPr>
          <w:rFonts w:asciiTheme="minorHAnsi" w:hAnsiTheme="minorHAnsi"/>
        </w:rPr>
        <w:t>ΔY(t) = c + φ₁ · ΔY(t−1) + ε(t)</w:t>
      </w:r>
    </w:p>
    <w:p w14:paraId="4ECC309A" w14:textId="77777777" w:rsidR="00000000" w:rsidRPr="003F6245" w:rsidRDefault="00000000" w:rsidP="00AA1234">
      <w:pPr>
        <w:spacing w:after="120" w:line="360" w:lineRule="auto"/>
        <w:jc w:val="both"/>
        <w:rPr>
          <w:rFonts w:asciiTheme="minorHAnsi" w:hAnsiTheme="minorHAnsi"/>
        </w:rPr>
      </w:pPr>
      <w:r w:rsidRPr="003F6245">
        <w:rPr>
          <w:rFonts w:asciiTheme="minorHAnsi" w:hAnsiTheme="minorHAnsi"/>
        </w:rPr>
        <w:t>Daraus ergeben sich zwei zentrale Parameter:</w:t>
      </w:r>
    </w:p>
    <w:p w14:paraId="0A717205" w14:textId="77777777" w:rsidR="00000000" w:rsidRPr="003F6245" w:rsidRDefault="00000000" w:rsidP="00AA1234">
      <w:pPr>
        <w:pStyle w:val="Listenabsatz"/>
        <w:numPr>
          <w:ilvl w:val="0"/>
          <w:numId w:val="1"/>
        </w:numPr>
        <w:spacing w:after="120" w:line="360" w:lineRule="auto"/>
        <w:jc w:val="both"/>
        <w:rPr>
          <w:rFonts w:asciiTheme="minorHAnsi" w:hAnsiTheme="minorHAnsi"/>
        </w:rPr>
      </w:pPr>
      <w:r w:rsidRPr="003F6245">
        <w:rPr>
          <w:rFonts w:asciiTheme="minorHAnsi" w:hAnsiTheme="minorHAnsi"/>
          <w:b/>
        </w:rPr>
        <w:t>Mean-Reversion-Stärke (φ):</w:t>
      </w:r>
      <w:r w:rsidRPr="003F6245">
        <w:rPr>
          <w:rFonts w:asciiTheme="minorHAnsi" w:hAnsiTheme="minorHAnsi"/>
        </w:rPr>
        <w:t xml:space="preserve"> Misst die Autokorrelation der Veränderungen. Ein negativer φ bedeutet: Überdurchschnittliche Quartalsveränderungen werden im Folgequartal teilweise korrigiert. (Bei -0,40 wird eine Veränderung zu 40% zurückgenommen)</w:t>
      </w:r>
    </w:p>
    <w:p w14:paraId="3D2FD6C6" w14:textId="77777777" w:rsidR="00000000" w:rsidRPr="003F6245" w:rsidRDefault="00000000" w:rsidP="00AA1234">
      <w:pPr>
        <w:spacing w:after="120" w:line="360" w:lineRule="auto"/>
        <w:jc w:val="both"/>
        <w:rPr>
          <w:rFonts w:asciiTheme="minorHAnsi" w:hAnsiTheme="minorHAnsi"/>
        </w:rPr>
      </w:pPr>
      <w:r w:rsidRPr="003F6245">
        <w:rPr>
          <w:rFonts w:asciiTheme="minorHAnsi" w:hAnsiTheme="minorHAnsi"/>
        </w:rPr>
        <w:t>Anschauungsbeispiel: starke &amp;amp; schwache Mean-Reversion (Kennzahl / φ)</w:t>
      </w:r>
    </w:p>
    <w:p w14:paraId="6F4F432B" w14:textId="77777777" w:rsidR="00000000" w:rsidRPr="003F6245" w:rsidRDefault="00000000" w:rsidP="00AA1234">
      <w:pPr>
        <w:spacing w:after="120" w:line="360" w:lineRule="auto"/>
        <w:jc w:val="center"/>
        <w:rPr>
          <w:rFonts w:asciiTheme="minorHAnsi" w:hAnsiTheme="minorHAnsi"/>
        </w:rPr>
      </w:pPr>
      <w:r w:rsidRPr="003F6245">
        <w:rPr>
          <w:rFonts w:asciiTheme="minorHAnsi" w:hAnsiTheme="minorHAnsi"/>
          <w:noProof/>
        </w:rPr>
        <w:drawing>
          <wp:inline distT="0" distB="0" distL="0" distR="0" wp14:anchorId="252A0928" wp14:editId="58AE1607">
            <wp:extent cx="2600000" cy="1426879"/>
            <wp:effectExtent l="0" t="0" r="0" b="0"/>
            <wp:docPr id="1007" name="Molson Coors Mean-Re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
                    <pic:cNvPicPr/>
                  </pic:nvPicPr>
                  <pic:blipFill>
                    <a:blip r:embed="rId10"/>
                    <a:stretch>
                      <a:fillRect/>
                    </a:stretch>
                  </pic:blipFill>
                  <pic:spPr>
                    <a:xfrm>
                      <a:off x="0" y="0"/>
                      <a:ext cx="2600000" cy="1426879"/>
                    </a:xfrm>
                    <a:prstGeom prst="rect">
                      <a:avLst/>
                    </a:prstGeom>
                  </pic:spPr>
                </pic:pic>
              </a:graphicData>
            </a:graphic>
          </wp:inline>
        </w:drawing>
      </w:r>
    </w:p>
    <w:p w14:paraId="4ED0AF46" w14:textId="77777777" w:rsidR="00000000" w:rsidRPr="003F6245" w:rsidRDefault="00000000" w:rsidP="00AA1234">
      <w:pPr>
        <w:spacing w:after="120" w:line="360" w:lineRule="auto"/>
        <w:jc w:val="center"/>
        <w:rPr>
          <w:rFonts w:asciiTheme="minorHAnsi" w:hAnsiTheme="minorHAnsi"/>
        </w:rPr>
      </w:pPr>
      <w:r w:rsidRPr="003F6245">
        <w:rPr>
          <w:rFonts w:asciiTheme="minorHAnsi" w:hAnsiTheme="minorHAnsi"/>
          <w:noProof/>
        </w:rPr>
        <w:lastRenderedPageBreak/>
        <w:drawing>
          <wp:inline distT="0" distB="0" distL="0" distR="0" wp14:anchorId="298FE3DC" wp14:editId="1025362F">
            <wp:extent cx="2600000" cy="1400645"/>
            <wp:effectExtent l="0" t="0" r="0" b="0"/>
            <wp:docPr id="1008" name="Qualcomm Mean-Re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
                    <pic:cNvPicPr/>
                  </pic:nvPicPr>
                  <pic:blipFill>
                    <a:blip r:embed="rId11"/>
                    <a:stretch>
                      <a:fillRect/>
                    </a:stretch>
                  </pic:blipFill>
                  <pic:spPr>
                    <a:xfrm>
                      <a:off x="0" y="0"/>
                      <a:ext cx="2600000" cy="1400645"/>
                    </a:xfrm>
                    <a:prstGeom prst="rect">
                      <a:avLst/>
                    </a:prstGeom>
                  </pic:spPr>
                </pic:pic>
              </a:graphicData>
            </a:graphic>
          </wp:inline>
        </w:drawing>
      </w:r>
    </w:p>
    <w:p w14:paraId="36E0E46D" w14:textId="77777777" w:rsidR="00000000" w:rsidRPr="003F6245" w:rsidRDefault="00000000" w:rsidP="00AA1234">
      <w:pPr>
        <w:pStyle w:val="Listenabsatz"/>
        <w:numPr>
          <w:ilvl w:val="0"/>
          <w:numId w:val="1"/>
        </w:numPr>
        <w:spacing w:after="120" w:line="360" w:lineRule="auto"/>
        <w:jc w:val="both"/>
        <w:rPr>
          <w:rFonts w:asciiTheme="minorHAnsi" w:hAnsiTheme="minorHAnsi"/>
        </w:rPr>
      </w:pPr>
      <w:r w:rsidRPr="003F6245">
        <w:rPr>
          <w:rFonts w:asciiTheme="minorHAnsi" w:hAnsiTheme="minorHAnsi"/>
          <w:b/>
        </w:rPr>
        <w:t>Änderungsvolatilität (σ(ΔY)):</w:t>
      </w:r>
      <w:r w:rsidRPr="003F6245">
        <w:rPr>
          <w:rFonts w:asciiTheme="minorHAnsi" w:hAnsiTheme="minorHAnsi"/>
        </w:rPr>
        <w:t xml:space="preserve"> Misst die typische Quartal / Quartal - Schwankung. Ein Maß für die Unruhe im Zeitverlauf.</w:t>
      </w:r>
    </w:p>
    <w:p w14:paraId="6CA7F4D3" w14:textId="77777777" w:rsidR="00000000" w:rsidRPr="003F6245" w:rsidRDefault="00000000" w:rsidP="00AA1234">
      <w:pPr>
        <w:spacing w:after="120" w:line="360" w:lineRule="auto"/>
        <w:jc w:val="both"/>
        <w:rPr>
          <w:rFonts w:asciiTheme="minorHAnsi" w:hAnsiTheme="minorHAnsi"/>
        </w:rPr>
      </w:pPr>
      <w:r w:rsidRPr="003F6245">
        <w:rPr>
          <w:rFonts w:asciiTheme="minorHAnsi" w:hAnsiTheme="minorHAnsi"/>
        </w:rPr>
        <w:t>Zusammen spannen φ₁ und σ(ΔY) einen Raum auf, in dem vier Dynamik-Typen über einen Median-Split unterschieden werden (Quadrantenklassifikation bei ROA):</w:t>
      </w:r>
    </w:p>
    <w:p w14:paraId="02682A95" w14:textId="77777777" w:rsidR="00000000" w:rsidRPr="003F6245" w:rsidRDefault="00000000" w:rsidP="00AA1234">
      <w:pPr>
        <w:spacing w:after="120" w:line="360" w:lineRule="auto"/>
        <w:jc w:val="center"/>
        <w:rPr>
          <w:rFonts w:asciiTheme="minorHAnsi" w:hAnsiTheme="minorHAnsi"/>
        </w:rPr>
      </w:pPr>
      <w:r w:rsidRPr="003F6245">
        <w:rPr>
          <w:rFonts w:asciiTheme="minorHAnsi" w:hAnsiTheme="minorHAnsi"/>
          <w:noProof/>
        </w:rPr>
        <w:drawing>
          <wp:inline distT="0" distB="0" distL="0" distR="0" wp14:anchorId="7E9C5295" wp14:editId="4E191018">
            <wp:extent cx="5400000" cy="3489944"/>
            <wp:effectExtent l="0" t="0" r="0" b="0"/>
            <wp:docPr id="1011" name="Quadrantenklassifikation R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
                    <pic:cNvPicPr/>
                  </pic:nvPicPr>
                  <pic:blipFill>
                    <a:blip r:embed="rId12"/>
                    <a:stretch>
                      <a:fillRect/>
                    </a:stretch>
                  </pic:blipFill>
                  <pic:spPr>
                    <a:xfrm>
                      <a:off x="0" y="0"/>
                      <a:ext cx="5400000" cy="3489944"/>
                    </a:xfrm>
                    <a:prstGeom prst="rect">
                      <a:avLst/>
                    </a:prstGeom>
                  </pic:spPr>
                </pic:pic>
              </a:graphicData>
            </a:graphic>
          </wp:inline>
        </w:drawing>
      </w:r>
    </w:p>
    <w:p w14:paraId="51756E9E" w14:textId="210951F6" w:rsidR="00000000" w:rsidRPr="003F6245" w:rsidRDefault="003F6245" w:rsidP="00AA1234">
      <w:pPr>
        <w:spacing w:after="120" w:line="360" w:lineRule="auto"/>
        <w:jc w:val="both"/>
        <w:rPr>
          <w:rFonts w:asciiTheme="minorHAnsi" w:hAnsiTheme="minorHAnsi"/>
        </w:rPr>
      </w:pPr>
      <w:r w:rsidRPr="003F6245">
        <w:rPr>
          <w:rFonts w:asciiTheme="minorHAnsi" w:hAnsiTheme="minorHAnsi"/>
          <w:b/>
        </w:rPr>
        <w:t>2</w:t>
      </w:r>
      <w:r w:rsidR="00000000" w:rsidRPr="003F6245">
        <w:rPr>
          <w:rFonts w:asciiTheme="minorHAnsi" w:hAnsiTheme="minorHAnsi"/>
          <w:b/>
        </w:rPr>
        <w:t>. Ergebnisse (Kennzahl-Hierarchie):</w:t>
      </w:r>
    </w:p>
    <w:p w14:paraId="2121723A" w14:textId="77777777" w:rsidR="00000000" w:rsidRPr="003F6245" w:rsidRDefault="00000000" w:rsidP="00AA1234">
      <w:pPr>
        <w:spacing w:after="120" w:line="360" w:lineRule="auto"/>
        <w:jc w:val="both"/>
        <w:rPr>
          <w:rFonts w:asciiTheme="minorHAnsi" w:hAnsiTheme="minorHAnsi"/>
        </w:rPr>
      </w:pPr>
      <w:r w:rsidRPr="003F6245">
        <w:rPr>
          <w:rFonts w:asciiTheme="minorHAnsi" w:hAnsiTheme="minorHAnsi"/>
        </w:rPr>
        <w:t>Die im folgenden beschriebene Hierarchie ist grundsätzlich ökonomisch erklärbar durch die Unterscheidung von</w:t>
      </w:r>
    </w:p>
    <w:p w14:paraId="1B27D1D8" w14:textId="77777777" w:rsidR="00000000" w:rsidRPr="003F6245" w:rsidRDefault="00000000" w:rsidP="003F6245">
      <w:pPr>
        <w:pStyle w:val="Listenabsatz"/>
        <w:spacing w:after="120" w:line="360" w:lineRule="auto"/>
        <w:ind w:left="720"/>
        <w:jc w:val="both"/>
        <w:rPr>
          <w:rFonts w:asciiTheme="minorHAnsi" w:hAnsiTheme="minorHAnsi"/>
        </w:rPr>
      </w:pPr>
      <w:r w:rsidRPr="003F6245">
        <w:rPr>
          <w:rFonts w:asciiTheme="minorHAnsi" w:hAnsiTheme="minorHAnsi"/>
          <w:b/>
        </w:rPr>
        <w:t>Markt-</w:t>
      </w:r>
      <w:r w:rsidRPr="003F6245">
        <w:rPr>
          <w:rFonts w:asciiTheme="minorHAnsi" w:hAnsiTheme="minorHAnsi"/>
        </w:rPr>
        <w:t xml:space="preserve"> (Profitabilität: Konjunktur, Wettbewerb)</w:t>
      </w:r>
    </w:p>
    <w:p w14:paraId="61AA1CD7" w14:textId="537E513C" w:rsidR="00000000" w:rsidRPr="003F6245" w:rsidRDefault="00000000" w:rsidP="003F6245">
      <w:pPr>
        <w:pStyle w:val="Listenabsatz"/>
        <w:spacing w:after="120" w:line="360" w:lineRule="auto"/>
        <w:ind w:left="720"/>
        <w:jc w:val="both"/>
        <w:rPr>
          <w:rFonts w:asciiTheme="minorHAnsi" w:hAnsiTheme="minorHAnsi"/>
        </w:rPr>
      </w:pPr>
      <w:r w:rsidRPr="003F6245">
        <w:rPr>
          <w:rFonts w:asciiTheme="minorHAnsi" w:hAnsiTheme="minorHAnsi"/>
          <w:b/>
        </w:rPr>
        <w:t>&amp;</w:t>
      </w:r>
      <w:r w:rsidRPr="003F6245">
        <w:rPr>
          <w:rFonts w:asciiTheme="minorHAnsi" w:hAnsiTheme="minorHAnsi"/>
          <w:b/>
        </w:rPr>
        <w:t>Managementgesteuerter</w:t>
      </w:r>
      <w:r w:rsidRPr="003F6245">
        <w:rPr>
          <w:rFonts w:asciiTheme="minorHAnsi" w:hAnsiTheme="minorHAnsi"/>
        </w:rPr>
        <w:t xml:space="preserve"> (Bilanzstruktur: Finanzierungsentscheidungen)</w:t>
      </w:r>
    </w:p>
    <w:p w14:paraId="562147FC" w14:textId="77777777" w:rsidR="00000000" w:rsidRPr="003F6245" w:rsidRDefault="00000000" w:rsidP="00AA1234">
      <w:pPr>
        <w:spacing w:after="120" w:line="360" w:lineRule="auto"/>
        <w:jc w:val="both"/>
        <w:rPr>
          <w:rFonts w:asciiTheme="minorHAnsi" w:hAnsiTheme="minorHAnsi"/>
        </w:rPr>
      </w:pPr>
      <w:r w:rsidRPr="003F6245">
        <w:rPr>
          <w:rFonts w:asciiTheme="minorHAnsi" w:hAnsiTheme="minorHAnsi"/>
        </w:rPr>
        <w:t xml:space="preserve">Kennzahlen und spiegeln auch die Herkunft der Kennzahlen </w:t>
      </w:r>
      <w:proofErr w:type="gramStart"/>
      <w:r w:rsidRPr="003F6245">
        <w:rPr>
          <w:rFonts w:asciiTheme="minorHAnsi" w:hAnsiTheme="minorHAnsi"/>
        </w:rPr>
        <w:t>wieder</w:t>
      </w:r>
      <w:proofErr w:type="gramEnd"/>
      <w:r w:rsidRPr="003F6245">
        <w:rPr>
          <w:rFonts w:asciiTheme="minorHAnsi" w:hAnsiTheme="minorHAnsi"/>
        </w:rPr>
        <w:t>.</w:t>
      </w:r>
    </w:p>
    <w:p w14:paraId="55D36D41" w14:textId="77777777" w:rsidR="00000000" w:rsidRPr="003F6245" w:rsidRDefault="00000000" w:rsidP="00AA1234">
      <w:pPr>
        <w:spacing w:after="120" w:line="360" w:lineRule="auto"/>
        <w:jc w:val="both"/>
        <w:rPr>
          <w:rFonts w:asciiTheme="minorHAnsi" w:hAnsiTheme="minorHAnsi"/>
        </w:rPr>
      </w:pPr>
      <w:r w:rsidRPr="003F6245">
        <w:rPr>
          <w:rFonts w:asciiTheme="minorHAnsi" w:hAnsiTheme="minorHAnsi"/>
        </w:rPr>
        <w:t>Die Boxplots zeigen die drei Schichten der Hierarchie über alle 932 Unternehmen:</w:t>
      </w:r>
    </w:p>
    <w:p w14:paraId="2B13473B" w14:textId="77777777" w:rsidR="00000000" w:rsidRPr="003F6245" w:rsidRDefault="00000000" w:rsidP="00AA1234">
      <w:pPr>
        <w:spacing w:after="120" w:line="360" w:lineRule="auto"/>
        <w:jc w:val="center"/>
        <w:rPr>
          <w:rFonts w:asciiTheme="minorHAnsi" w:hAnsiTheme="minorHAnsi"/>
        </w:rPr>
      </w:pPr>
      <w:r w:rsidRPr="003F6245">
        <w:rPr>
          <w:rFonts w:asciiTheme="minorHAnsi" w:hAnsiTheme="minorHAnsi"/>
          <w:noProof/>
        </w:rPr>
        <w:lastRenderedPageBreak/>
        <w:drawing>
          <wp:inline distT="0" distB="0" distL="0" distR="0" wp14:anchorId="740F1E9F" wp14:editId="0316BD31">
            <wp:extent cx="5400000" cy="2665822"/>
            <wp:effectExtent l="0" t="0" r="0" b="0"/>
            <wp:docPr id="1023" name="Boxplot Mean-Re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
                    <pic:cNvPicPr/>
                  </pic:nvPicPr>
                  <pic:blipFill>
                    <a:blip r:embed="rId13"/>
                    <a:stretch>
                      <a:fillRect/>
                    </a:stretch>
                  </pic:blipFill>
                  <pic:spPr>
                    <a:xfrm>
                      <a:off x="0" y="0"/>
                      <a:ext cx="5400000" cy="2665822"/>
                    </a:xfrm>
                    <a:prstGeom prst="rect">
                      <a:avLst/>
                    </a:prstGeom>
                  </pic:spPr>
                </pic:pic>
              </a:graphicData>
            </a:graphic>
          </wp:inline>
        </w:drawing>
      </w:r>
    </w:p>
    <w:p w14:paraId="1DA07C80" w14:textId="77777777" w:rsidR="00000000" w:rsidRPr="003F6245" w:rsidRDefault="00000000" w:rsidP="00AA1234">
      <w:pPr>
        <w:pStyle w:val="Listenabsatz"/>
        <w:numPr>
          <w:ilvl w:val="0"/>
          <w:numId w:val="1"/>
        </w:numPr>
        <w:spacing w:after="120" w:line="360" w:lineRule="auto"/>
        <w:jc w:val="both"/>
        <w:rPr>
          <w:rFonts w:asciiTheme="minorHAnsi" w:hAnsiTheme="minorHAnsi"/>
        </w:rPr>
      </w:pPr>
      <w:r w:rsidRPr="003F6245">
        <w:rPr>
          <w:rFonts w:asciiTheme="minorHAnsi" w:hAnsiTheme="minorHAnsi"/>
          <w:b/>
        </w:rPr>
        <w:t>Profitabilität (-0,43 bis -0,46):</w:t>
      </w:r>
      <w:r w:rsidRPr="003F6245">
        <w:rPr>
          <w:rFonts w:asciiTheme="minorHAnsi" w:hAnsiTheme="minorHAnsi"/>
        </w:rPr>
        <w:t xml:space="preserve"> zeigt konsistente, starke Mean-Reversion. 90 - 97% der Unternehmen haben signifikante Effekte, R² liegt bei 0,18 - 0,21. Die vier Kennzahlen clustern eng. Trotz unterschiedlicher Berechnungsgrundlage (Buchgewinn / Cashflow) sind Quartalsveränderungen in operativen Performances temporär.</w:t>
      </w:r>
    </w:p>
    <w:p w14:paraId="30D4FAB7" w14:textId="77777777" w:rsidR="00000000" w:rsidRPr="003F6245" w:rsidRDefault="00000000" w:rsidP="00AA1234">
      <w:pPr>
        <w:pStyle w:val="Listenabsatz"/>
        <w:numPr>
          <w:ilvl w:val="0"/>
          <w:numId w:val="1"/>
        </w:numPr>
        <w:spacing w:after="120" w:line="360" w:lineRule="auto"/>
        <w:jc w:val="both"/>
        <w:rPr>
          <w:rFonts w:asciiTheme="minorHAnsi" w:hAnsiTheme="minorHAnsi"/>
        </w:rPr>
      </w:pPr>
      <w:r w:rsidRPr="003F6245">
        <w:rPr>
          <w:rFonts w:asciiTheme="minorHAnsi" w:hAnsiTheme="minorHAnsi"/>
          <w:b/>
        </w:rPr>
        <w:t>Liquidität (-0,17):</w:t>
      </w:r>
      <w:r w:rsidRPr="003F6245">
        <w:rPr>
          <w:rFonts w:asciiTheme="minorHAnsi" w:hAnsiTheme="minorHAnsi"/>
        </w:rPr>
        <w:t xml:space="preserve"> Die Current Ratio liegt in der Mitte der Hierarchie. Nur 46% der Unternehmen zeigen signifikante Mean-Reversion, R² = 0,03. Liquiditätsentscheidungen sind teilweise systematisch, teilweise diskretioär.</w:t>
      </w:r>
    </w:p>
    <w:p w14:paraId="75A30B81" w14:textId="77777777" w:rsidR="00000000" w:rsidRPr="003F6245" w:rsidRDefault="00000000" w:rsidP="00AA1234">
      <w:pPr>
        <w:pStyle w:val="Listenabsatz"/>
        <w:numPr>
          <w:ilvl w:val="0"/>
          <w:numId w:val="1"/>
        </w:numPr>
        <w:spacing w:after="120" w:line="360" w:lineRule="auto"/>
        <w:jc w:val="both"/>
        <w:rPr>
          <w:rFonts w:asciiTheme="minorHAnsi" w:hAnsiTheme="minorHAnsi"/>
        </w:rPr>
      </w:pPr>
      <w:r w:rsidRPr="003F6245">
        <w:rPr>
          <w:rFonts w:asciiTheme="minorHAnsi" w:hAnsiTheme="minorHAnsi"/>
          <w:b/>
        </w:rPr>
        <w:t>Kapitalstruktur (-0,04 bis -0,09):</w:t>
      </w:r>
      <w:r w:rsidRPr="003F6245">
        <w:rPr>
          <w:rFonts w:asciiTheme="minorHAnsi" w:hAnsiTheme="minorHAnsi"/>
        </w:rPr>
        <w:t xml:space="preserve"> Debt-to-Equity und Eigenkapitalquote zeigen kein AR-Signal auf Differenzen. Veränderungen der Kapitalstruktur sind Managemententscheidungen, die keinem AR Prozess folgen. Auf Niveaus dagegen höchste Persistenz (0,87 - 0,93).</w:t>
      </w:r>
    </w:p>
    <w:p w14:paraId="0AFD4994" w14:textId="77777777" w:rsidR="00000000" w:rsidRPr="003F6245" w:rsidRDefault="00000000" w:rsidP="00AA1234">
      <w:pPr>
        <w:spacing w:after="120" w:line="360" w:lineRule="auto"/>
        <w:jc w:val="center"/>
        <w:rPr>
          <w:rFonts w:asciiTheme="minorHAnsi" w:hAnsiTheme="minorHAnsi"/>
        </w:rPr>
      </w:pPr>
      <w:r w:rsidRPr="003F6245">
        <w:rPr>
          <w:rFonts w:asciiTheme="minorHAnsi" w:hAnsiTheme="minorHAnsi"/>
          <w:noProof/>
        </w:rPr>
        <w:drawing>
          <wp:inline distT="0" distB="0" distL="0" distR="0" wp14:anchorId="1A64A4D8" wp14:editId="2214B41C">
            <wp:extent cx="5400000" cy="2128347"/>
            <wp:effectExtent l="0" t="0" r="0" b="0"/>
            <wp:docPr id="1027" name="Signifikanzraten und 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
                    <pic:cNvPicPr/>
                  </pic:nvPicPr>
                  <pic:blipFill>
                    <a:blip r:embed="rId14"/>
                    <a:stretch>
                      <a:fillRect/>
                    </a:stretch>
                  </pic:blipFill>
                  <pic:spPr>
                    <a:xfrm>
                      <a:off x="0" y="0"/>
                      <a:ext cx="5400000" cy="2128347"/>
                    </a:xfrm>
                    <a:prstGeom prst="rect">
                      <a:avLst/>
                    </a:prstGeom>
                  </pic:spPr>
                </pic:pic>
              </a:graphicData>
            </a:graphic>
          </wp:inline>
        </w:drawing>
      </w:r>
    </w:p>
    <w:p w14:paraId="31FC7408" w14:textId="77777777" w:rsidR="00000000" w:rsidRPr="003F6245" w:rsidRDefault="00000000" w:rsidP="00AA1234">
      <w:pPr>
        <w:spacing w:after="120" w:line="360" w:lineRule="auto"/>
        <w:jc w:val="both"/>
        <w:rPr>
          <w:rFonts w:asciiTheme="minorHAnsi" w:hAnsiTheme="minorHAnsi"/>
        </w:rPr>
      </w:pPr>
      <w:r w:rsidRPr="003F6245">
        <w:rPr>
          <w:rFonts w:asciiTheme="minorHAnsi" w:hAnsiTheme="minorHAnsi"/>
          <w:b/>
        </w:rPr>
        <w:lastRenderedPageBreak/>
        <w:t>4. Sektorale Analyse</w:t>
      </w:r>
    </w:p>
    <w:p w14:paraId="3CFC1266" w14:textId="77777777" w:rsidR="00000000" w:rsidRPr="003F6245" w:rsidRDefault="00000000" w:rsidP="00AA1234">
      <w:pPr>
        <w:spacing w:after="120" w:line="360" w:lineRule="auto"/>
        <w:jc w:val="both"/>
        <w:rPr>
          <w:rFonts w:asciiTheme="minorHAnsi" w:hAnsiTheme="minorHAnsi"/>
        </w:rPr>
      </w:pPr>
      <w:r w:rsidRPr="003F6245">
        <w:rPr>
          <w:rFonts w:asciiTheme="minorHAnsi" w:hAnsiTheme="minorHAnsi"/>
        </w:rPr>
        <w:t>Innerhalb der Drei-Schichten-Hierarchie variieren die Parameter sektoral. Die Heatmap zeigt die φ₁-Mediane pro Sektor und Kennzahl.</w:t>
      </w:r>
    </w:p>
    <w:p w14:paraId="2D5AB570" w14:textId="77777777" w:rsidR="00000000" w:rsidRPr="003F6245" w:rsidRDefault="00000000" w:rsidP="00AA1234">
      <w:pPr>
        <w:spacing w:after="120" w:line="360" w:lineRule="auto"/>
        <w:jc w:val="center"/>
        <w:rPr>
          <w:rFonts w:asciiTheme="minorHAnsi" w:hAnsiTheme="minorHAnsi"/>
        </w:rPr>
      </w:pPr>
      <w:r w:rsidRPr="003F6245">
        <w:rPr>
          <w:rFonts w:asciiTheme="minorHAnsi" w:hAnsiTheme="minorHAnsi"/>
          <w:noProof/>
        </w:rPr>
        <w:drawing>
          <wp:inline distT="0" distB="0" distL="0" distR="0" wp14:anchorId="0F4E6526" wp14:editId="4D8B2783">
            <wp:extent cx="5400000" cy="3055427"/>
            <wp:effectExtent l="0" t="0" r="0" b="0"/>
            <wp:docPr id="1030" name="Heatmap Sektor Kennza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
                    <pic:cNvPicPr/>
                  </pic:nvPicPr>
                  <pic:blipFill>
                    <a:blip r:embed="rId15"/>
                    <a:stretch>
                      <a:fillRect/>
                    </a:stretch>
                  </pic:blipFill>
                  <pic:spPr>
                    <a:xfrm>
                      <a:off x="0" y="0"/>
                      <a:ext cx="5400000" cy="3055427"/>
                    </a:xfrm>
                    <a:prstGeom prst="rect">
                      <a:avLst/>
                    </a:prstGeom>
                  </pic:spPr>
                </pic:pic>
              </a:graphicData>
            </a:graphic>
          </wp:inline>
        </w:drawing>
      </w:r>
    </w:p>
    <w:p w14:paraId="0BEF5020" w14:textId="77777777" w:rsidR="00000000" w:rsidRPr="003F6245" w:rsidRDefault="00000000" w:rsidP="00AA1234">
      <w:pPr>
        <w:pStyle w:val="Listenabsatz"/>
        <w:numPr>
          <w:ilvl w:val="0"/>
          <w:numId w:val="1"/>
        </w:numPr>
        <w:spacing w:after="120" w:line="360" w:lineRule="auto"/>
        <w:jc w:val="both"/>
        <w:rPr>
          <w:rFonts w:asciiTheme="minorHAnsi" w:hAnsiTheme="minorHAnsi"/>
        </w:rPr>
      </w:pPr>
      <w:r w:rsidRPr="003F6245">
        <w:rPr>
          <w:rFonts w:asciiTheme="minorHAnsi" w:hAnsiTheme="minorHAnsi"/>
          <w:b/>
        </w:rPr>
        <w:t>Communication Services</w:t>
      </w:r>
      <w:r w:rsidRPr="003F6245">
        <w:rPr>
          <w:rFonts w:asciiTheme="minorHAnsi" w:hAnsiTheme="minorHAnsi"/>
        </w:rPr>
        <w:t xml:space="preserve"> zeigt die stärkste Mean-Reversion bei Profitabilität (−0,49). Hohe Fixkosten, Umsatzschwankungen zeigen sich direkt.</w:t>
      </w:r>
    </w:p>
    <w:p w14:paraId="76E18535" w14:textId="77777777" w:rsidR="00000000" w:rsidRPr="003F6245" w:rsidRDefault="00000000" w:rsidP="00AA1234">
      <w:pPr>
        <w:pStyle w:val="Listenabsatz"/>
        <w:numPr>
          <w:ilvl w:val="0"/>
          <w:numId w:val="1"/>
        </w:numPr>
        <w:spacing w:after="120" w:line="360" w:lineRule="auto"/>
        <w:jc w:val="both"/>
        <w:rPr>
          <w:rFonts w:asciiTheme="minorHAnsi" w:hAnsiTheme="minorHAnsi"/>
        </w:rPr>
      </w:pPr>
      <w:r w:rsidRPr="003F6245">
        <w:rPr>
          <w:rFonts w:asciiTheme="minorHAnsi" w:hAnsiTheme="minorHAnsi"/>
          <w:b/>
        </w:rPr>
        <w:t>Basic Materials</w:t>
      </w:r>
      <w:r w:rsidRPr="003F6245">
        <w:rPr>
          <w:rFonts w:asciiTheme="minorHAnsi" w:hAnsiTheme="minorHAnsi"/>
        </w:rPr>
        <w:t xml:space="preserve"> haben die schwächste Mean-Reversion bei Profitabilität (ca. −0,40). Rohstoffpreise treiben die Profitabilität</w:t>
      </w:r>
    </w:p>
    <w:p w14:paraId="44C03B30" w14:textId="77777777" w:rsidR="00000000" w:rsidRPr="003F6245" w:rsidRDefault="00000000" w:rsidP="00AA1234">
      <w:pPr>
        <w:pStyle w:val="Listenabsatz"/>
        <w:numPr>
          <w:ilvl w:val="0"/>
          <w:numId w:val="1"/>
        </w:numPr>
        <w:spacing w:after="120" w:line="360" w:lineRule="auto"/>
        <w:jc w:val="both"/>
        <w:rPr>
          <w:rFonts w:asciiTheme="minorHAnsi" w:hAnsiTheme="minorHAnsi"/>
        </w:rPr>
      </w:pPr>
      <w:r w:rsidRPr="003F6245">
        <w:rPr>
          <w:rFonts w:asciiTheme="minorHAnsi" w:hAnsiTheme="minorHAnsi"/>
          <w:b/>
        </w:rPr>
        <w:t>Real Estate</w:t>
      </w:r>
      <w:r w:rsidRPr="003F6245">
        <w:rPr>
          <w:rFonts w:asciiTheme="minorHAnsi" w:hAnsiTheme="minorHAnsi"/>
        </w:rPr>
        <w:t xml:space="preserve"> sticht bei der Current Ratio hervor (−0,34). Durch Refinanzierungen entsteht eine hohe Liquiditätsdynamik.</w:t>
      </w:r>
    </w:p>
    <w:p w14:paraId="1DAB80B9" w14:textId="77777777" w:rsidR="00000000" w:rsidRPr="003F6245" w:rsidRDefault="00000000" w:rsidP="00AA1234">
      <w:pPr>
        <w:pStyle w:val="Listenabsatz"/>
        <w:numPr>
          <w:ilvl w:val="0"/>
          <w:numId w:val="1"/>
        </w:numPr>
        <w:spacing w:after="120" w:line="360" w:lineRule="auto"/>
        <w:jc w:val="both"/>
        <w:rPr>
          <w:rFonts w:asciiTheme="minorHAnsi" w:hAnsiTheme="minorHAnsi"/>
        </w:rPr>
      </w:pPr>
      <w:r w:rsidRPr="003F6245">
        <w:rPr>
          <w:rFonts w:asciiTheme="minorHAnsi" w:hAnsiTheme="minorHAnsi"/>
          <w:b/>
        </w:rPr>
        <w:t>Utilities</w:t>
      </w:r>
      <w:r w:rsidRPr="003F6245">
        <w:rPr>
          <w:rFonts w:asciiTheme="minorHAnsi" w:hAnsiTheme="minorHAnsi"/>
        </w:rPr>
        <w:t xml:space="preserve"> zeigen als einziger Sektor Mean-Reversion bei Kapitalstruktur-Kennzahlen (−0,17 &amp;amp; −0,14). Die regulierte Kapitalstruktur erzeugt ein systematisches Zurückkehren zum Zielwert.</w:t>
      </w:r>
    </w:p>
    <w:p w14:paraId="5775FC57" w14:textId="77777777" w:rsidR="00000000" w:rsidRPr="003F6245" w:rsidRDefault="00000000" w:rsidP="00AA1234">
      <w:pPr>
        <w:spacing w:after="120" w:line="360" w:lineRule="auto"/>
        <w:jc w:val="center"/>
        <w:rPr>
          <w:rFonts w:asciiTheme="minorHAnsi" w:hAnsiTheme="minorHAnsi"/>
        </w:rPr>
      </w:pPr>
      <w:r w:rsidRPr="003F6245">
        <w:rPr>
          <w:rFonts w:asciiTheme="minorHAnsi" w:hAnsiTheme="minorHAnsi"/>
          <w:noProof/>
        </w:rPr>
        <w:lastRenderedPageBreak/>
        <w:drawing>
          <wp:inline distT="0" distB="0" distL="0" distR="0" wp14:anchorId="6E77BC15" wp14:editId="02775643">
            <wp:extent cx="5400000" cy="2678137"/>
            <wp:effectExtent l="0" t="0" r="0" b="0"/>
            <wp:docPr id="1035" name="Quadrantenverteilung Sekto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
                    <pic:cNvPicPr/>
                  </pic:nvPicPr>
                  <pic:blipFill>
                    <a:blip r:embed="rId16"/>
                    <a:stretch>
                      <a:fillRect/>
                    </a:stretch>
                  </pic:blipFill>
                  <pic:spPr>
                    <a:xfrm>
                      <a:off x="0" y="0"/>
                      <a:ext cx="5400000" cy="2678137"/>
                    </a:xfrm>
                    <a:prstGeom prst="rect">
                      <a:avLst/>
                    </a:prstGeom>
                  </pic:spPr>
                </pic:pic>
              </a:graphicData>
            </a:graphic>
          </wp:inline>
        </w:drawing>
      </w:r>
    </w:p>
    <w:p w14:paraId="645E8C37" w14:textId="77777777" w:rsidR="00000000" w:rsidRPr="003F6245" w:rsidRDefault="00000000" w:rsidP="00AA1234">
      <w:pPr>
        <w:spacing w:after="120" w:line="360" w:lineRule="auto"/>
        <w:jc w:val="both"/>
        <w:rPr>
          <w:rFonts w:asciiTheme="minorHAnsi" w:hAnsiTheme="minorHAnsi"/>
        </w:rPr>
      </w:pPr>
      <w:r w:rsidRPr="003F6245">
        <w:rPr>
          <w:rFonts w:asciiTheme="minorHAnsi" w:hAnsiTheme="minorHAnsi"/>
        </w:rPr>
        <w:t>Die Quadranten differenziert die Sektoren weiter (siehe hierzu auch Scatter-Chart – S. 1):</w:t>
      </w:r>
    </w:p>
    <w:p w14:paraId="1A36086D" w14:textId="77777777" w:rsidR="00000000" w:rsidRPr="003F6245" w:rsidRDefault="00000000" w:rsidP="00AA1234">
      <w:pPr>
        <w:pStyle w:val="Listenabsatz"/>
        <w:numPr>
          <w:ilvl w:val="0"/>
          <w:numId w:val="1"/>
        </w:numPr>
        <w:spacing w:after="120" w:line="360" w:lineRule="auto"/>
        <w:jc w:val="both"/>
        <w:rPr>
          <w:rFonts w:asciiTheme="minorHAnsi" w:hAnsiTheme="minorHAnsi"/>
        </w:rPr>
      </w:pPr>
      <w:r w:rsidRPr="003F6245">
        <w:rPr>
          <w:rFonts w:asciiTheme="minorHAnsi" w:hAnsiTheme="minorHAnsi"/>
        </w:rPr>
        <w:t>Bei Communication Services und Energy dominiert der korrektiv-volatile Typ. Große Ausschläge, die systematisch korrigiert werden.</w:t>
      </w:r>
    </w:p>
    <w:p w14:paraId="25EE0D66" w14:textId="77777777" w:rsidR="00000000" w:rsidRPr="003F6245" w:rsidRDefault="00000000" w:rsidP="00AA1234">
      <w:pPr>
        <w:pStyle w:val="Listenabsatz"/>
        <w:numPr>
          <w:ilvl w:val="0"/>
          <w:numId w:val="1"/>
        </w:numPr>
        <w:spacing w:after="120" w:line="360" w:lineRule="auto"/>
        <w:jc w:val="both"/>
        <w:rPr>
          <w:rFonts w:asciiTheme="minorHAnsi" w:hAnsiTheme="minorHAnsi"/>
        </w:rPr>
      </w:pPr>
      <w:r w:rsidRPr="003F6245">
        <w:rPr>
          <w:rFonts w:asciiTheme="minorHAnsi" w:hAnsiTheme="minorHAnsi"/>
        </w:rPr>
        <w:t>Basic Materials und Technology fallen durch den höchsten Anteil persistent-volatiler Unternehmen auf. Hier ist die Profitabilitätsdynamik am wenigsten vorhersagbar.</w:t>
      </w:r>
    </w:p>
    <w:p w14:paraId="3884C6B1" w14:textId="77777777" w:rsidR="00000000" w:rsidRPr="003F6245" w:rsidRDefault="00000000" w:rsidP="00AA1234">
      <w:pPr>
        <w:pStyle w:val="Listenabsatz"/>
        <w:numPr>
          <w:ilvl w:val="0"/>
          <w:numId w:val="1"/>
        </w:numPr>
        <w:spacing w:after="120" w:line="360" w:lineRule="auto"/>
        <w:jc w:val="both"/>
        <w:rPr>
          <w:rFonts w:asciiTheme="minorHAnsi" w:hAnsiTheme="minorHAnsi"/>
        </w:rPr>
      </w:pPr>
      <w:r w:rsidRPr="003F6245">
        <w:rPr>
          <w:rFonts w:asciiTheme="minorHAnsi" w:hAnsiTheme="minorHAnsi"/>
        </w:rPr>
        <w:t>In den übrigen Sektoren überwiegen stabile Profile.</w:t>
      </w:r>
    </w:p>
    <w:p w14:paraId="58C73676" w14:textId="77777777" w:rsidR="00151490" w:rsidRPr="003F6245" w:rsidRDefault="00151490" w:rsidP="00151490">
      <w:pPr>
        <w:pStyle w:val="berschrift3"/>
        <w:rPr>
          <w:rFonts w:asciiTheme="minorHAnsi" w:hAnsiTheme="minorHAnsi"/>
        </w:rPr>
      </w:pPr>
      <w:r w:rsidRPr="003F6245">
        <w:rPr>
          <w:rFonts w:asciiTheme="minorHAnsi" w:hAnsiTheme="minorHAnsi"/>
        </w:rPr>
        <w:t>FF2: Interdependenzmaße und Event-Analyse</w:t>
      </w:r>
    </w:p>
    <w:p w14:paraId="716D3129" w14:textId="77777777" w:rsidR="00DF4729" w:rsidRPr="00DF4729" w:rsidRDefault="00DF4729" w:rsidP="00DF4729">
      <w:pPr>
        <w:spacing w:after="120" w:line="360" w:lineRule="auto"/>
        <w:jc w:val="both"/>
        <w:rPr>
          <w:rFonts w:asciiTheme="minorHAnsi" w:hAnsiTheme="minorHAnsi"/>
        </w:rPr>
      </w:pPr>
      <w:r w:rsidRPr="00DF4729">
        <w:rPr>
          <w:rFonts w:asciiTheme="minorHAnsi" w:hAnsiTheme="minorHAnsi"/>
        </w:rPr>
        <w:t xml:space="preserve">Der querschnittliche Teil prüft, ob die AR-Parameter verschiedener Kennzahlen innerhalb eines Unternehmens zusammenhängen. Spearman-Rangkorrelationen messen den monotonen Zusammenhang der φ₁-Werte (bzw. σ-Werte) zwischen Kennzahlenpaaren über alle 932 Unternehmen. </w:t>
      </w:r>
      <w:proofErr w:type="spellStart"/>
      <w:r w:rsidRPr="00DF4729">
        <w:rPr>
          <w:rFonts w:asciiTheme="minorHAnsi" w:hAnsiTheme="minorHAnsi"/>
        </w:rPr>
        <w:t>Cramér's</w:t>
      </w:r>
      <w:proofErr w:type="spellEnd"/>
      <w:r w:rsidRPr="00DF4729">
        <w:rPr>
          <w:rFonts w:asciiTheme="minorHAnsi" w:hAnsiTheme="minorHAnsi"/>
        </w:rPr>
        <w:t xml:space="preserve"> V quantifiziert ergänzend die Assoziation zwischen den </w:t>
      </w:r>
      <w:proofErr w:type="spellStart"/>
      <w:r w:rsidRPr="00DF4729">
        <w:rPr>
          <w:rFonts w:asciiTheme="minorHAnsi" w:hAnsiTheme="minorHAnsi"/>
        </w:rPr>
        <w:t>Quadrantenzuordnungen</w:t>
      </w:r>
      <w:proofErr w:type="spellEnd"/>
      <w:r w:rsidRPr="00DF4729">
        <w:rPr>
          <w:rFonts w:asciiTheme="minorHAnsi" w:hAnsiTheme="minorHAnsi"/>
        </w:rPr>
        <w:t xml:space="preserve"> zweier Kennzahlen als nominales Effektstärkemaß auf Basis von χ²-Kontigenztafeln. Die Kombination beider Maße erlaubt es, Interdependenzen sowohl auf der metrischen Ebene (Spearman) als auch auf der kategorialen Ebene (</w:t>
      </w:r>
      <w:proofErr w:type="spellStart"/>
      <w:r w:rsidRPr="00DF4729">
        <w:rPr>
          <w:rFonts w:asciiTheme="minorHAnsi" w:hAnsiTheme="minorHAnsi"/>
        </w:rPr>
        <w:t>Cramér's</w:t>
      </w:r>
      <w:proofErr w:type="spellEnd"/>
      <w:r w:rsidRPr="00DF4729">
        <w:rPr>
          <w:rFonts w:asciiTheme="minorHAnsi" w:hAnsiTheme="minorHAnsi"/>
        </w:rPr>
        <w:t xml:space="preserve"> V) zu erfassen.</w:t>
      </w:r>
    </w:p>
    <w:p w14:paraId="6D81359D" w14:textId="0503D973" w:rsidR="00151490" w:rsidRPr="003F6245" w:rsidRDefault="00DF4729" w:rsidP="00DF4729">
      <w:pPr>
        <w:spacing w:after="120" w:line="360" w:lineRule="auto"/>
        <w:jc w:val="both"/>
        <w:rPr>
          <w:rFonts w:asciiTheme="minorHAnsi" w:hAnsiTheme="minorHAnsi"/>
        </w:rPr>
      </w:pPr>
      <w:r w:rsidRPr="00DF4729">
        <w:rPr>
          <w:rFonts w:asciiTheme="minorHAnsi" w:hAnsiTheme="minorHAnsi"/>
        </w:rPr>
        <w:t xml:space="preserve">Der zeitliche Teil untersucht, ob die auf dem Gesamtzeitraum geschätzten Dynamik-Profile sich in konkreten Krisenreaktionen manifestieren. Dazu werden zunächst Hochvolatilitätsphasen datengetrieben identifiziert, anstatt Events ex ante zu </w:t>
      </w:r>
      <w:r w:rsidRPr="00DF4729">
        <w:rPr>
          <w:rFonts w:asciiTheme="minorHAnsi" w:hAnsiTheme="minorHAnsi"/>
        </w:rPr>
        <w:lastRenderedPageBreak/>
        <w:t xml:space="preserve">datieren. Als Peak-Fenster gilt ein Quartal, in dem mindestens drei der sieben Kennzahlen gleichzeitig das 90. Perzentil ihrer rollierenden Querschnittsvolatilität überschreiten. Innerhalb dieser Fenster werden die Verteilungen der ersten Differenzen nach </w:t>
      </w:r>
      <w:proofErr w:type="spellStart"/>
      <w:r w:rsidRPr="00DF4729">
        <w:rPr>
          <w:rFonts w:asciiTheme="minorHAnsi" w:hAnsiTheme="minorHAnsi"/>
        </w:rPr>
        <w:t>Quadrantentyp</w:t>
      </w:r>
      <w:proofErr w:type="spellEnd"/>
      <w:r w:rsidRPr="00DF4729">
        <w:rPr>
          <w:rFonts w:asciiTheme="minorHAnsi" w:hAnsiTheme="minorHAnsi"/>
        </w:rPr>
        <w:t xml:space="preserve"> verglichen: Mann-Whitney-U-Tests prüfen paarweise Unterschiede zwischen je zwei Quadranten, Kruskal-Wallis-Tests prüfen simultane Unterschiede über alle vier Quadranten. Für beide Verfahren wird eine </w:t>
      </w:r>
      <w:proofErr w:type="spellStart"/>
      <w:r w:rsidRPr="00DF4729">
        <w:rPr>
          <w:rFonts w:asciiTheme="minorHAnsi" w:hAnsiTheme="minorHAnsi"/>
        </w:rPr>
        <w:t>Bonferroni</w:t>
      </w:r>
      <w:proofErr w:type="spellEnd"/>
      <w:r w:rsidRPr="00DF4729">
        <w:rPr>
          <w:rFonts w:asciiTheme="minorHAnsi" w:hAnsiTheme="minorHAnsi"/>
        </w:rPr>
        <w:t>-Korrektur für multiples Testen angewendet.</w:t>
      </w:r>
    </w:p>
    <w:p w14:paraId="10F2C5B1" w14:textId="77777777" w:rsidR="00151490" w:rsidRPr="003F6245" w:rsidRDefault="00151490" w:rsidP="00151490">
      <w:pPr>
        <w:pStyle w:val="berschrift3"/>
        <w:rPr>
          <w:rFonts w:asciiTheme="minorHAnsi" w:hAnsiTheme="minorHAnsi"/>
        </w:rPr>
      </w:pPr>
      <w:r w:rsidRPr="003F6245">
        <w:rPr>
          <w:rFonts w:asciiTheme="minorHAnsi" w:hAnsiTheme="minorHAnsi"/>
        </w:rPr>
        <w:t>FF3: Assoziationsmaße und externe Validierung</w:t>
      </w:r>
    </w:p>
    <w:p w14:paraId="4C96E24E" w14:textId="77777777" w:rsidR="00151490" w:rsidRPr="003F6245" w:rsidRDefault="00151490" w:rsidP="00151490">
      <w:pPr>
        <w:spacing w:after="120" w:line="360" w:lineRule="auto"/>
        <w:jc w:val="both"/>
        <w:rPr>
          <w:rFonts w:asciiTheme="minorHAnsi" w:hAnsiTheme="minorHAnsi"/>
        </w:rPr>
      </w:pPr>
      <w:r w:rsidRPr="003F6245">
        <w:rPr>
          <w:rFonts w:asciiTheme="minorHAnsi" w:hAnsiTheme="minorHAnsi"/>
        </w:rPr>
        <w:t>Die externe Validierung (FF3) prüft, ob die Quadrantenzuordnung durch beobachtbare Strukturmerkmale erklärbar ist. χ²-Unabhängigkeitstests testen die Assoziation zwischen Branchenzugehörigkeit und Quadrantentyp für jede der sieben Kennzahlen separat. Cramérs V dient als Effektstärkemaß zur Quantifizierung der Assoziationsstärke. Spearman-Rangkorrelationen messen den Zusammenhang zwischen Unternehmensgröße (Mitarbeiterzahl, Marktkapitalisierung) und den AR-Parametern (φ₁, σ). Eine K-Means-Clusteranalyse auf den AR-Parametern aller sieben Kennzahlen (14-dimensionaler Merkmalsraum: je ein φ₁ und ein σ pro Kennzahl) dient als datengetriebener Vergleich zur Quadrantenklassifikation.</w:t>
      </w:r>
    </w:p>
    <w:p w14:paraId="53749D5B" w14:textId="77777777" w:rsidR="00151490" w:rsidRPr="003F6245" w:rsidRDefault="00151490" w:rsidP="00151490">
      <w:pPr>
        <w:spacing w:after="120" w:line="360" w:lineRule="auto"/>
        <w:jc w:val="both"/>
        <w:rPr>
          <w:rFonts w:asciiTheme="minorHAnsi" w:hAnsiTheme="minorHAnsi"/>
        </w:rPr>
      </w:pPr>
      <w:r w:rsidRPr="003F6245">
        <w:rPr>
          <w:rFonts w:asciiTheme="minorHAnsi" w:hAnsiTheme="minorHAnsi"/>
        </w:rPr>
        <w:t>Konsistenz-Scores erfassen, in welchem Anteil der sieben Kennzahlen ein Unternehmen demselben Quadranten zugeordnet wird. Dieser Score adressiert die Frage, ob die Quadrantenklassifikation primär kennzahlspezifisch oder unternehmensspezifisch ist — eine zentrale Frage für die praktische Anwendbarkeit der Klassifikation.</w:t>
      </w:r>
    </w:p>
    <w:p w14:paraId="3BC58FCA" w14:textId="77777777" w:rsidR="0041350B" w:rsidRPr="003F6245" w:rsidRDefault="0041350B" w:rsidP="00151490">
      <w:pPr>
        <w:pStyle w:val="berschrift2"/>
        <w:rPr>
          <w:rFonts w:asciiTheme="minorHAnsi" w:hAnsiTheme="minorHAnsi"/>
        </w:rPr>
      </w:pPr>
    </w:p>
    <w:sectPr w:rsidR="0041350B" w:rsidRPr="003F6245">
      <w:headerReference w:type="default" r:id="rId17"/>
      <w:footerReference w:type="default" r:id="rId1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F0A66" w14:textId="77777777" w:rsidR="006D6161" w:rsidRDefault="006D6161">
      <w:r>
        <w:separator/>
      </w:r>
    </w:p>
  </w:endnote>
  <w:endnote w:type="continuationSeparator" w:id="0">
    <w:p w14:paraId="3BDBC1A8" w14:textId="77777777" w:rsidR="006D6161" w:rsidRDefault="006D6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4CD4" w14:textId="77777777" w:rsidR="0041350B" w:rsidRDefault="0041350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B531B" w14:textId="77777777" w:rsidR="006D6161" w:rsidRDefault="006D6161">
      <w:r>
        <w:separator/>
      </w:r>
    </w:p>
  </w:footnote>
  <w:footnote w:type="continuationSeparator" w:id="0">
    <w:p w14:paraId="5D6622AB" w14:textId="77777777" w:rsidR="006D6161" w:rsidRDefault="006D61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43AD" w14:textId="77777777" w:rsidR="0041350B" w:rsidRDefault="0041350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65484"/>
    <w:multiLevelType w:val="hybridMultilevel"/>
    <w:tmpl w:val="251884D6"/>
    <w:lvl w:ilvl="0" w:tplc="89BECDB6">
      <w:start w:val="1"/>
      <w:numFmt w:val="bullet"/>
      <w:lvlText w:val="●"/>
      <w:lvlJc w:val="left"/>
      <w:pPr>
        <w:ind w:left="720" w:hanging="360"/>
      </w:pPr>
    </w:lvl>
    <w:lvl w:ilvl="1" w:tplc="478C5D94">
      <w:start w:val="1"/>
      <w:numFmt w:val="bullet"/>
      <w:lvlText w:val="○"/>
      <w:lvlJc w:val="left"/>
      <w:pPr>
        <w:ind w:left="1440" w:hanging="360"/>
      </w:pPr>
    </w:lvl>
    <w:lvl w:ilvl="2" w:tplc="79D42F08">
      <w:start w:val="1"/>
      <w:numFmt w:val="bullet"/>
      <w:lvlText w:val="■"/>
      <w:lvlJc w:val="left"/>
      <w:pPr>
        <w:ind w:left="2160" w:hanging="360"/>
      </w:pPr>
    </w:lvl>
    <w:lvl w:ilvl="3" w:tplc="9276222C">
      <w:start w:val="1"/>
      <w:numFmt w:val="bullet"/>
      <w:lvlText w:val="●"/>
      <w:lvlJc w:val="left"/>
      <w:pPr>
        <w:ind w:left="2880" w:hanging="360"/>
      </w:pPr>
    </w:lvl>
    <w:lvl w:ilvl="4" w:tplc="543AC6F6">
      <w:start w:val="1"/>
      <w:numFmt w:val="bullet"/>
      <w:lvlText w:val="○"/>
      <w:lvlJc w:val="left"/>
      <w:pPr>
        <w:ind w:left="3600" w:hanging="360"/>
      </w:pPr>
    </w:lvl>
    <w:lvl w:ilvl="5" w:tplc="51FA46A2">
      <w:start w:val="1"/>
      <w:numFmt w:val="bullet"/>
      <w:lvlText w:val="■"/>
      <w:lvlJc w:val="left"/>
      <w:pPr>
        <w:ind w:left="4320" w:hanging="360"/>
      </w:pPr>
    </w:lvl>
    <w:lvl w:ilvl="6" w:tplc="05D4E9CE">
      <w:start w:val="1"/>
      <w:numFmt w:val="bullet"/>
      <w:lvlText w:val="●"/>
      <w:lvlJc w:val="left"/>
      <w:pPr>
        <w:ind w:left="5040" w:hanging="360"/>
      </w:pPr>
    </w:lvl>
    <w:lvl w:ilvl="7" w:tplc="250A470E">
      <w:start w:val="1"/>
      <w:numFmt w:val="bullet"/>
      <w:lvlText w:val="●"/>
      <w:lvlJc w:val="left"/>
      <w:pPr>
        <w:ind w:left="5760" w:hanging="360"/>
      </w:pPr>
    </w:lvl>
    <w:lvl w:ilvl="8" w:tplc="6192A5CA">
      <w:start w:val="1"/>
      <w:numFmt w:val="bullet"/>
      <w:lvlText w:val="●"/>
      <w:lvlJc w:val="left"/>
      <w:pPr>
        <w:ind w:left="6480" w:hanging="360"/>
      </w:pPr>
    </w:lvl>
  </w:abstractNum>
  <w:num w:numId="1" w16cid:durableId="19944805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50B"/>
    <w:rsid w:val="00061C4D"/>
    <w:rsid w:val="000B23D9"/>
    <w:rsid w:val="000B42D0"/>
    <w:rsid w:val="00151490"/>
    <w:rsid w:val="00195107"/>
    <w:rsid w:val="001D3045"/>
    <w:rsid w:val="001E1DF3"/>
    <w:rsid w:val="001E20B9"/>
    <w:rsid w:val="00313FB4"/>
    <w:rsid w:val="003959B1"/>
    <w:rsid w:val="003B4046"/>
    <w:rsid w:val="003F6245"/>
    <w:rsid w:val="0041350B"/>
    <w:rsid w:val="0041421C"/>
    <w:rsid w:val="00441BDF"/>
    <w:rsid w:val="006055B3"/>
    <w:rsid w:val="00636D1B"/>
    <w:rsid w:val="006A1E56"/>
    <w:rsid w:val="006D6161"/>
    <w:rsid w:val="007F5FEE"/>
    <w:rsid w:val="008C76EA"/>
    <w:rsid w:val="00982755"/>
    <w:rsid w:val="0099327B"/>
    <w:rsid w:val="00A5597F"/>
    <w:rsid w:val="00AA4B8D"/>
    <w:rsid w:val="00D20313"/>
    <w:rsid w:val="00DA1F6C"/>
    <w:rsid w:val="00DC4F23"/>
    <w:rsid w:val="00DF4729"/>
    <w:rsid w:val="00E302D4"/>
    <w:rsid w:val="00E36150"/>
    <w:rsid w:val="00EC03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0C335D2"/>
  <w15:docId w15:val="{4193B512-7EF8-434D-847E-6F78E643B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sz w:val="32"/>
      <w:szCs w:val="32"/>
    </w:rPr>
  </w:style>
  <w:style w:type="paragraph" w:styleId="berschrift2">
    <w:name w:val="heading 2"/>
    <w:link w:val="berschrift2Zchn"/>
    <w:uiPriority w:val="9"/>
    <w:unhideWhenUsed/>
    <w:qFormat/>
    <w:pPr>
      <w:spacing w:before="360" w:after="200"/>
      <w:outlineLvl w:val="1"/>
    </w:pPr>
    <w:rPr>
      <w:b/>
      <w:bCs/>
      <w:sz w:val="28"/>
      <w:szCs w:val="28"/>
    </w:rPr>
  </w:style>
  <w:style w:type="paragraph" w:styleId="berschrift3">
    <w:name w:val="heading 3"/>
    <w:link w:val="berschrift3Zchn"/>
    <w:uiPriority w:val="9"/>
    <w:unhideWhenUsed/>
    <w:qFormat/>
    <w:pPr>
      <w:spacing w:before="240" w:after="160"/>
      <w:outlineLvl w:val="2"/>
    </w:pPr>
    <w:rPr>
      <w:b/>
      <w:bCs/>
      <w:i/>
      <w:iCs/>
      <w:sz w:val="26"/>
      <w:szCs w:val="26"/>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1D3045"/>
    <w:pPr>
      <w:tabs>
        <w:tab w:val="center" w:pos="4536"/>
        <w:tab w:val="right" w:pos="9072"/>
      </w:tabs>
    </w:pPr>
  </w:style>
  <w:style w:type="character" w:customStyle="1" w:styleId="KopfzeileZchn">
    <w:name w:val="Kopfzeile Zchn"/>
    <w:basedOn w:val="Absatz-Standardschriftart"/>
    <w:link w:val="Kopfzeile"/>
    <w:uiPriority w:val="99"/>
    <w:rsid w:val="001D3045"/>
  </w:style>
  <w:style w:type="paragraph" w:styleId="Fuzeile">
    <w:name w:val="footer"/>
    <w:basedOn w:val="Standard"/>
    <w:link w:val="FuzeileZchn"/>
    <w:uiPriority w:val="99"/>
    <w:unhideWhenUsed/>
    <w:rsid w:val="001D3045"/>
    <w:pPr>
      <w:tabs>
        <w:tab w:val="center" w:pos="4536"/>
        <w:tab w:val="right" w:pos="9072"/>
      </w:tabs>
    </w:pPr>
  </w:style>
  <w:style w:type="character" w:customStyle="1" w:styleId="FuzeileZchn">
    <w:name w:val="Fußzeile Zchn"/>
    <w:basedOn w:val="Absatz-Standardschriftart"/>
    <w:link w:val="Fuzeile"/>
    <w:uiPriority w:val="99"/>
    <w:rsid w:val="001D3045"/>
  </w:style>
  <w:style w:type="character" w:customStyle="1" w:styleId="berschrift2Zchn">
    <w:name w:val="Überschrift 2 Zchn"/>
    <w:basedOn w:val="Absatz-Standardschriftart"/>
    <w:link w:val="berschrift2"/>
    <w:uiPriority w:val="9"/>
    <w:rsid w:val="00151490"/>
    <w:rPr>
      <w:b/>
      <w:bCs/>
      <w:sz w:val="28"/>
      <w:szCs w:val="28"/>
    </w:rPr>
  </w:style>
  <w:style w:type="character" w:customStyle="1" w:styleId="berschrift3Zchn">
    <w:name w:val="Überschrift 3 Zchn"/>
    <w:basedOn w:val="Absatz-Standardschriftart"/>
    <w:link w:val="berschrift3"/>
    <w:uiPriority w:val="9"/>
    <w:rsid w:val="00151490"/>
    <w:rPr>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3902</Words>
  <Characters>24589</Characters>
  <Application>Microsoft Office Word</Application>
  <DocSecurity>0</DocSecurity>
  <Lines>204</Lines>
  <Paragraphs>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Tobias Mourier</cp:lastModifiedBy>
  <cp:revision>8</cp:revision>
  <dcterms:created xsi:type="dcterms:W3CDTF">2026-03-25T22:10:00Z</dcterms:created>
  <dcterms:modified xsi:type="dcterms:W3CDTF">2026-03-28T23:23:00Z</dcterms:modified>
</cp:coreProperties>
</file>