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06"/>
      </w:tblGrid>
      <w:tr>
        <w:trPr>
          <w:trHeight w:val="16700" w:hRule="exact"/>
        </w:trPr>
        <w:tc>
          <w:tcPr>
            <w:tcW w:type="dxa" w:w="11906"/>
            <w:tcBorders>
              <w:top w:val="none" w:color="FFFFFF" w:sz="0"/>
              <w:left w:val="none" w:color="FFFFFF" w:sz="0"/>
              <w:bottom w:val="none" w:color="FFFFFF" w:sz="0"/>
              <w:right w:val="none" w:color="FFFFFF" w:sz="0"/>
            </w:tcBorders>
            <w:shd w:fill="0E1A2B" w:color="auto" w:val="clear"/>
            <w:tcMar>
              <w:top w:type="dxa" w:w="0"/>
              <w:left w:type="dxa" w:w="0"/>
              <w:bottom w:type="dxa" w:w="0"/>
              <w:right w:type="dxa" w:w="0"/>
            </w:tcMar>
            <w:vAlign w:val="top"/>
          </w:tcPr>
          <w:p>
            <w:pPr>
              <w:keepLines/>
              <w:spacing w:after="2600" w:before="0" w:line="264" w:lineRule="auto"/>
            </w:pPr>
            <w:r>
              <w:rPr>
                <w:rFonts w:ascii="Calibri" w:cs="Calibri" w:eastAsia="Calibri" w:hAnsi="Calibri"/>
                <w:color w:val="1B2433"/>
                <w:sz w:val="20"/>
                <w:szCs w:val="20"/>
              </w:rPr>
              <w:t xml:space="preserve"/>
            </w:r>
          </w:p>
          <w:p>
            <w:pPr>
              <w:keepLines/>
              <w:spacing w:after="360" w:before="0" w:line="264" w:lineRule="auto"/>
              <w:ind w:left="1000"/>
            </w:pPr>
            <w:r>
              <w:rPr>
                <w:rFonts w:ascii="Calibri" w:cs="Calibri" w:eastAsia="Calibri" w:hAnsi="Calibri"/>
                <w:b/>
                <w:bCs/>
                <w:color w:val="D7263D"/>
                <w:spacing w:val="50"/>
                <w:sz w:val="19"/>
                <w:szCs w:val="19"/>
              </w:rPr>
              <w:t xml:space="preserve">INFORMATIONSMANAGEMENT UND DATA LITERACY · REFERAT</w:t>
            </w:r>
          </w:p>
          <w:p>
            <w:pPr>
              <w:keepLines/>
              <w:spacing w:after="60" w:before="0" w:line="240" w:lineRule="auto"/>
              <w:ind w:left="1000"/>
            </w:pPr>
            <w:r>
              <w:rPr>
                <w:rFonts w:ascii="Calibri" w:cs="Calibri" w:eastAsia="Calibri" w:hAnsi="Calibri"/>
                <w:b/>
                <w:bCs/>
                <w:color w:val="FFFFFF"/>
                <w:sz w:val="88"/>
                <w:szCs w:val="88"/>
              </w:rPr>
              <w:t xml:space="preserve">Fragen und Antworten</w:t>
            </w:r>
          </w:p>
          <w:p>
            <w:pPr>
              <w:keepLines/>
              <w:spacing w:after="300" w:before="0" w:line="240" w:lineRule="auto"/>
              <w:ind w:left="1000"/>
            </w:pPr>
            <w:r>
              <w:rPr>
                <w:rFonts w:ascii="Calibri" w:cs="Calibri" w:eastAsia="Calibri" w:hAnsi="Calibri"/>
                <w:b/>
                <w:bCs/>
                <w:color w:val="FFFFFF"/>
                <w:sz w:val="88"/>
                <w:szCs w:val="88"/>
              </w:rPr>
              <w:t xml:space="preserve">mit Begründung</w:t>
            </w:r>
          </w:p>
          <w:p>
            <w:pPr>
              <w:keepLines/>
              <w:spacing w:after="0" w:before="0" w:line="264" w:lineRule="auto"/>
              <w:ind w:left="1000"/>
            </w:pPr>
            <w:r>
              <w:rPr>
                <w:rFonts w:ascii="Calibri" w:cs="Calibri" w:eastAsia="Calibri" w:hAnsi="Calibri"/>
                <w:b/>
                <w:bCs/>
                <w:color w:val="D7263D"/>
                <w:sz w:val="48"/>
                <w:szCs w:val="48"/>
              </w:rPr>
              <w:t xml:space="preserve">Authentifizierung</w:t>
            </w:r>
          </w:p>
          <w:p>
            <w:pPr>
              <w:keepLines/>
              <w:spacing w:after="360" w:before="0" w:line="264" w:lineRule="auto"/>
              <w:ind w:left="1000"/>
            </w:pPr>
            <w:r>
              <w:rPr>
                <w:rFonts w:ascii="Calibri" w:cs="Calibri" w:eastAsia="Calibri" w:hAnsi="Calibri"/>
                <w:b/>
                <w:bCs/>
                <w:color w:val="D7263D"/>
                <w:sz w:val="48"/>
                <w:szCs w:val="48"/>
              </w:rPr>
              <w:t xml:space="preserve">Schwerpunkt Besitz</w:t>
            </w:r>
          </w:p>
          <w:p>
            <w:pPr>
              <w:keepLines/>
              <w:spacing w:after="1500" w:before="0" w:line="264" w:lineRule="auto"/>
              <w:ind w:left="1000" w:right="1400"/>
            </w:pPr>
            <w:r>
              <w:rPr>
                <w:rFonts w:ascii="Calibri" w:cs="Calibri" w:eastAsia="Calibri" w:hAnsi="Calibri"/>
                <w:i/>
                <w:iCs/>
                <w:color w:val="B9C2D3"/>
                <w:sz w:val="26"/>
                <w:szCs w:val="26"/>
              </w:rPr>
              <w:t xml:space="preserve">Fünfzehn Fragen mit Mehrfachauswahl, aufsteigend nach Schwierigkeit, jede mit Begründung</w:t>
            </w:r>
          </w:p>
          <w:p>
            <w:pPr>
              <w:spacing w:after="1900"/>
            </w:pPr>
            <w:r>
              <w:drawing>
                <wp:inline distT="0" distB="0" distL="0" distR="0">
                  <wp:extent cx="7553325" cy="1190625"/>
                  <wp:effectExtent t="0" r="0" b="0" l="0"/>
                  <wp:docPr id="1" name="wave" descr="Annas Tag als Linie mit Schlüssel" title="Wellenlin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7553325" cy="1190625"/>
                          </a:xfrm>
                          <a:prstGeom prst="rect">
                            <a:avLst/>
                          </a:prstGeom>
                        </pic:spPr>
                      </pic:pic>
                    </a:graphicData>
                  </a:graphic>
                </wp:inline>
              </w:drawing>
            </w:r>
          </w:p>
          <w:p>
            <w:pPr>
              <w:keepLines/>
              <w:spacing w:after="80" w:before="0" w:line="264" w:lineRule="auto"/>
              <w:ind w:left="1000"/>
            </w:pPr>
            <w:r>
              <w:rPr>
                <w:rFonts w:ascii="Calibri" w:cs="Calibri" w:eastAsia="Calibri" w:hAnsi="Calibri"/>
                <w:b/>
                <w:bCs/>
                <w:color w:val="FFFFFF"/>
                <w:sz w:val="22"/>
                <w:szCs w:val="22"/>
              </w:rPr>
              <w:t xml:space="preserve">Christopher Lane Charles Dentmon  ·  Simon Georg Borgmann</w:t>
            </w:r>
          </w:p>
          <w:p>
            <w:pPr>
              <w:keepLines/>
              <w:spacing w:after="0" w:before="0" w:line="264" w:lineRule="auto"/>
              <w:ind w:left="1000"/>
            </w:pPr>
            <w:r>
              <w:rPr>
                <w:rFonts w:ascii="Calibri" w:cs="Calibri" w:eastAsia="Calibri" w:hAnsi="Calibri"/>
                <w:color w:val="98A3B8"/>
                <w:sz w:val="20"/>
                <w:szCs w:val="20"/>
              </w:rPr>
              <w:t xml:space="preserve">Prof. Dr. Goy Hinrich Korn  ·  Hochschule Osnabrück  ·  Vortrag am 01.10.2026</w:t>
            </w:r>
          </w:p>
        </w:tc>
      </w:tr>
    </w:tbl>
    <w:p>
      <w:pPr>
        <w:sectPr>
          <w:pgSz w:w="11906" w:h="16838" w:orient="portrait"/>
          <w:pgMar w:top="0" w:right="0" w:bottom="0" w:left="0" w:header="0" w:footer="0" w:gutter="0"/>
          <w:pgNumType/>
          <w:docGrid w:linePitch="360"/>
        </w:sectPr>
      </w:pPr>
    </w:p>
    <w:p>
      <w:pPr>
        <w:keepLines/>
        <w:spacing w:after="80" w:before="0" w:line="264" w:lineRule="auto"/>
      </w:pPr>
      <w:r>
        <w:rPr>
          <w:rFonts w:ascii="Calibri" w:cs="Calibri" w:eastAsia="Calibri" w:hAnsi="Calibri"/>
          <w:b/>
          <w:bCs/>
          <w:color w:val="D7263D"/>
          <w:spacing w:val="50"/>
          <w:sz w:val="18"/>
          <w:szCs w:val="18"/>
        </w:rPr>
        <w:t xml:space="preserve">HINWEISE ZUM DOKUMENT</w:t>
      </w:r>
    </w:p>
    <w:p>
      <w:pPr>
        <w:keepLines/>
        <w:spacing w:after="240" w:before="0" w:line="264" w:lineRule="auto"/>
      </w:pPr>
      <w:r>
        <w:rPr>
          <w:rFonts w:ascii="Calibri" w:cs="Calibri" w:eastAsia="Calibri" w:hAnsi="Calibri"/>
          <w:b/>
          <w:bCs/>
          <w:color w:val="0E1A2B"/>
          <w:sz w:val="44"/>
          <w:szCs w:val="44"/>
        </w:rPr>
        <w:t xml:space="preserve">So ist dieses Dokument aufgebaut</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0"/>
        <w:gridCol w:w="178"/>
        <w:gridCol w:w="3050"/>
        <w:gridCol w:w="178"/>
        <w:gridCol w:w="3050"/>
      </w:tblGrid>
      <w:tr>
        <w:tc>
          <w:tcPr>
            <w:tcW w:type="dxa" w:w="3050"/>
            <w:tcBorders>
              <w:top w:val="single" w:color="D7263D" w:sz="18"/>
              <w:left w:val="none" w:color="FFFFFF" w:sz="0"/>
              <w:bottom w:val="none" w:color="FFFFFF" w:sz="0"/>
              <w:right w:val="none" w:color="FFFFFF" w:sz="0"/>
            </w:tcBorders>
            <w:shd w:fill="F3F5F9" w:color="auto" w:val="clear"/>
            <w:tcMar>
              <w:top w:type="dxa" w:w="260"/>
              <w:left w:type="dxa" w:w="140"/>
              <w:bottom w:type="dxa" w:w="260"/>
              <w:right w:type="dxa" w:w="140"/>
            </w:tcMar>
            <w:vAlign w:val="center"/>
          </w:tcPr>
          <w:p>
            <w:pPr>
              <w:keepLines/>
              <w:spacing w:after="0" w:before="0" w:line="264" w:lineRule="auto"/>
              <w:jc w:val="center"/>
            </w:pPr>
            <w:r>
              <w:rPr>
                <w:rFonts w:ascii="Calibri" w:cs="Calibri" w:eastAsia="Calibri" w:hAnsi="Calibri"/>
                <w:b/>
                <w:bCs/>
                <w:color w:val="D7263D"/>
                <w:sz w:val="60"/>
                <w:szCs w:val="60"/>
              </w:rPr>
              <w:t xml:space="preserve">15</w:t>
            </w:r>
          </w:p>
          <w:p>
            <w:pPr>
              <w:keepLines/>
              <w:spacing w:after="0" w:before="0" w:line="264" w:lineRule="auto"/>
              <w:jc w:val="center"/>
            </w:pPr>
            <w:r>
              <w:rPr>
                <w:rFonts w:ascii="Calibri" w:cs="Calibri" w:eastAsia="Calibri" w:hAnsi="Calibri"/>
                <w:b/>
                <w:bCs/>
                <w:caps/>
                <w:color w:val="5E6A7D"/>
                <w:spacing w:val="20"/>
                <w:sz w:val="19"/>
                <w:szCs w:val="19"/>
              </w:rPr>
              <w:t xml:space="preserve">Fragen</w:t>
            </w:r>
          </w:p>
        </w:tc>
        <w:tc>
          <w:tcPr>
            <w:tcW w:type="dxa" w:w="178"/>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keepLines/>
              <w:spacing w:after="0" w:before="0" w:line="264" w:lineRule="auto"/>
            </w:pPr>
            <w:r>
              <w:rPr>
                <w:rFonts w:ascii="Calibri" w:cs="Calibri" w:eastAsia="Calibri" w:hAnsi="Calibri"/>
                <w:color w:val="1B2433"/>
                <w:sz w:val="21"/>
                <w:szCs w:val="21"/>
              </w:rPr>
              <w:t xml:space="preserve"/>
            </w:r>
          </w:p>
        </w:tc>
        <w:tc>
          <w:tcPr>
            <w:tcW w:type="dxa" w:w="3050"/>
            <w:tcBorders>
              <w:top w:val="single" w:color="D7263D" w:sz="18"/>
              <w:left w:val="none" w:color="FFFFFF" w:sz="0"/>
              <w:bottom w:val="none" w:color="FFFFFF" w:sz="0"/>
              <w:right w:val="none" w:color="FFFFFF" w:sz="0"/>
            </w:tcBorders>
            <w:shd w:fill="F3F5F9" w:color="auto" w:val="clear"/>
            <w:tcMar>
              <w:top w:type="dxa" w:w="260"/>
              <w:left w:type="dxa" w:w="140"/>
              <w:bottom w:type="dxa" w:w="260"/>
              <w:right w:type="dxa" w:w="140"/>
            </w:tcMar>
            <w:vAlign w:val="center"/>
          </w:tcPr>
          <w:p>
            <w:pPr>
              <w:keepLines/>
              <w:spacing w:after="0" w:before="0" w:line="264" w:lineRule="auto"/>
              <w:jc w:val="center"/>
            </w:pPr>
            <w:r>
              <w:rPr>
                <w:rFonts w:ascii="Calibri" w:cs="Calibri" w:eastAsia="Calibri" w:hAnsi="Calibri"/>
                <w:b/>
                <w:bCs/>
                <w:color w:val="D7263D"/>
                <w:sz w:val="60"/>
                <w:szCs w:val="60"/>
              </w:rPr>
              <w:t xml:space="preserve">5</w:t>
            </w:r>
          </w:p>
          <w:p>
            <w:pPr>
              <w:keepLines/>
              <w:spacing w:after="0" w:before="0" w:line="264" w:lineRule="auto"/>
              <w:jc w:val="center"/>
            </w:pPr>
            <w:r>
              <w:rPr>
                <w:rFonts w:ascii="Calibri" w:cs="Calibri" w:eastAsia="Calibri" w:hAnsi="Calibri"/>
                <w:b/>
                <w:bCs/>
                <w:caps/>
                <w:color w:val="5E6A7D"/>
                <w:spacing w:val="20"/>
                <w:sz w:val="19"/>
                <w:szCs w:val="19"/>
              </w:rPr>
              <w:t xml:space="preserve">Antwortoptionen</w:t>
            </w:r>
          </w:p>
        </w:tc>
        <w:tc>
          <w:tcPr>
            <w:tcW w:type="dxa" w:w="178"/>
            <w:tcBorders>
              <w:top w:val="none" w:color="FFFFFF" w:sz="0"/>
              <w:left w:val="none" w:color="FFFFFF" w:sz="0"/>
              <w:bottom w:val="none" w:color="FFFFFF" w:sz="0"/>
              <w:right w:val="none" w:color="FFFFFF" w:sz="0"/>
            </w:tcBorders>
            <w:tcMar>
              <w:top w:type="dxa" w:w="80"/>
              <w:left w:type="dxa" w:w="140"/>
              <w:bottom w:type="dxa" w:w="80"/>
              <w:right w:type="dxa" w:w="140"/>
            </w:tcMar>
            <w:vAlign w:val="center"/>
          </w:tcPr>
          <w:p>
            <w:pPr>
              <w:keepLines/>
              <w:spacing w:after="0" w:before="0" w:line="264" w:lineRule="auto"/>
            </w:pPr>
            <w:r>
              <w:rPr>
                <w:rFonts w:ascii="Calibri" w:cs="Calibri" w:eastAsia="Calibri" w:hAnsi="Calibri"/>
                <w:color w:val="1B2433"/>
                <w:sz w:val="21"/>
                <w:szCs w:val="21"/>
              </w:rPr>
              <w:t xml:space="preserve"/>
            </w:r>
          </w:p>
        </w:tc>
        <w:tc>
          <w:tcPr>
            <w:tcW w:type="dxa" w:w="3050"/>
            <w:tcBorders>
              <w:top w:val="single" w:color="D7263D" w:sz="18"/>
              <w:left w:val="none" w:color="FFFFFF" w:sz="0"/>
              <w:bottom w:val="none" w:color="FFFFFF" w:sz="0"/>
              <w:right w:val="none" w:color="FFFFFF" w:sz="0"/>
            </w:tcBorders>
            <w:shd w:fill="F3F5F9" w:color="auto" w:val="clear"/>
            <w:tcMar>
              <w:top w:type="dxa" w:w="260"/>
              <w:left w:type="dxa" w:w="140"/>
              <w:bottom w:type="dxa" w:w="260"/>
              <w:right w:type="dxa" w:w="140"/>
            </w:tcMar>
            <w:vAlign w:val="center"/>
          </w:tcPr>
          <w:p>
            <w:pPr>
              <w:keepLines/>
              <w:spacing w:after="0" w:before="0" w:line="264" w:lineRule="auto"/>
              <w:jc w:val="center"/>
            </w:pPr>
            <w:r>
              <w:rPr>
                <w:rFonts w:ascii="Calibri" w:cs="Calibri" w:eastAsia="Calibri" w:hAnsi="Calibri"/>
                <w:b/>
                <w:bCs/>
                <w:color w:val="D7263D"/>
                <w:sz w:val="60"/>
                <w:szCs w:val="60"/>
              </w:rPr>
              <w:t xml:space="preserve">1 bis 3</w:t>
            </w:r>
          </w:p>
          <w:p>
            <w:pPr>
              <w:keepLines/>
              <w:spacing w:after="0" w:before="0" w:line="264" w:lineRule="auto"/>
              <w:jc w:val="center"/>
            </w:pPr>
            <w:r>
              <w:rPr>
                <w:rFonts w:ascii="Calibri" w:cs="Calibri" w:eastAsia="Calibri" w:hAnsi="Calibri"/>
                <w:b/>
                <w:bCs/>
                <w:caps/>
                <w:color w:val="5E6A7D"/>
                <w:spacing w:val="20"/>
                <w:sz w:val="19"/>
                <w:szCs w:val="19"/>
              </w:rPr>
              <w:t xml:space="preserve">richtige Antworten</w:t>
            </w:r>
          </w:p>
        </w:tc>
      </w:tr>
    </w:tbl>
    <w:p>
      <w:pPr>
        <w:keepLines/>
        <w:spacing w:after="240" w:before="0" w:line="264" w:lineRule="auto"/>
      </w:pPr>
      <w:r>
        <w:rPr>
          <w:rFonts w:ascii="Calibri" w:cs="Calibri" w:eastAsia="Calibri" w:hAnsi="Calibri"/>
          <w:color w:val="1B2433"/>
          <w:sz w:val="21"/>
          <w:szCs w:val="21"/>
        </w:rPr>
        <w:t xml:space="preserve"/>
      </w:r>
    </w:p>
    <w:p>
      <w:pPr>
        <w:keepNext/>
        <w:keepLines/>
        <w:spacing w:after="60" w:before="0" w:line="264" w:lineRule="auto"/>
      </w:pPr>
      <w:r>
        <w:rPr>
          <w:rFonts w:ascii="Calibri" w:cs="Calibri" w:eastAsia="Calibri" w:hAnsi="Calibri"/>
          <w:b/>
          <w:bCs/>
          <w:color w:val="0E1A2B"/>
          <w:sz w:val="27"/>
          <w:szCs w:val="27"/>
        </w:rPr>
        <w:t xml:space="preserve">Auswahl und Bewertung</w:t>
      </w:r>
    </w:p>
    <w:p>
      <w:pPr>
        <w:keepLines/>
        <w:spacing w:after="300" w:before="0" w:line="300" w:lineRule="auto"/>
      </w:pPr>
      <w:r>
        <w:rPr>
          <w:rFonts w:ascii="Calibri" w:cs="Calibri" w:eastAsia="Calibri" w:hAnsi="Calibri"/>
          <w:color w:val="1B2433"/>
          <w:sz w:val="23"/>
          <w:szCs w:val="23"/>
        </w:rPr>
        <w:t xml:space="preserve">Jede Frage hat fünf Antwortmöglichkeiten. Es sind immer eine bis drei Antworten richtig, die Anzahl wird bewusst nicht verraten, und die Fragen sind unterschiedlich formuliert. Eine Frage gilt nur dann als richtig beantwortet, wenn genau die richtigen Antworten gewählt wurden.</w:t>
      </w:r>
    </w:p>
    <w:p>
      <w:pPr>
        <w:keepNext/>
        <w:keepLines/>
        <w:spacing w:after="60" w:before="0" w:line="264" w:lineRule="auto"/>
      </w:pPr>
      <w:r>
        <w:rPr>
          <w:rFonts w:ascii="Calibri" w:cs="Calibri" w:eastAsia="Calibri" w:hAnsi="Calibri"/>
          <w:b/>
          <w:bCs/>
          <w:color w:val="0E1A2B"/>
          <w:sz w:val="27"/>
          <w:szCs w:val="27"/>
        </w:rPr>
        <w:t xml:space="preserve">Schwierigkeit</w:t>
      </w:r>
    </w:p>
    <w:p>
      <w:pPr>
        <w:keepLines/>
        <w:spacing w:after="300" w:before="0" w:line="300" w:lineRule="auto"/>
      </w:pPr>
      <w:r>
        <w:rPr>
          <w:rFonts w:ascii="Calibri" w:cs="Calibri" w:eastAsia="Calibri" w:hAnsi="Calibri"/>
          <w:color w:val="1B2433"/>
          <w:sz w:val="23"/>
          <w:szCs w:val="23"/>
        </w:rPr>
        <w:t xml:space="preserve">Die Fragen steigen im Schwierigkeitsgrad an: Frage 1 bis 4 sind leicht, Frage 5 bis 10 mittel und Frage 11 bis 15 schwer. Zu jeder Frage ist die passende Folie aus unserem Vortrag angegeben.</w:t>
      </w:r>
    </w:p>
    <w:p>
      <w:pPr>
        <w:keepNext/>
        <w:keepLines/>
        <w:spacing w:after="60" w:before="0" w:line="264" w:lineRule="auto"/>
      </w:pPr>
      <w:r>
        <w:rPr>
          <w:rFonts w:ascii="Calibri" w:cs="Calibri" w:eastAsia="Calibri" w:hAnsi="Calibri"/>
          <w:b/>
          <w:bCs/>
          <w:color w:val="0E1A2B"/>
          <w:sz w:val="27"/>
          <w:szCs w:val="27"/>
        </w:rPr>
        <w:t xml:space="preserve">Begründung</w:t>
      </w:r>
    </w:p>
    <w:p>
      <w:pPr>
        <w:keepLines/>
        <w:spacing w:after="300" w:before="0" w:line="300" w:lineRule="auto"/>
      </w:pPr>
      <w:r>
        <w:rPr>
          <w:rFonts w:ascii="Calibri" w:cs="Calibri" w:eastAsia="Calibri" w:hAnsi="Calibri"/>
          <w:color w:val="1B2433"/>
          <w:sz w:val="23"/>
          <w:szCs w:val="23"/>
        </w:rPr>
        <w:t xml:space="preserve">Zu jeder Frage steht zuerst, warum genau diese Frage gestellt wird, also welches Lernziel sie prüft und wo sie im Vortrag vorkommt. Danach folgt jede einzelne Antwortmöglichkeit mit einer eigenen Begründung, warum sie richtig oder falsch ist.</w:t>
      </w:r>
    </w:p>
    <w:p>
      <w:pPr>
        <w:keepNext/>
        <w:keepLines/>
        <w:spacing w:after="80" w:before="0" w:line="264" w:lineRule="auto"/>
      </w:pPr>
      <w:r>
        <w:rPr>
          <w:rFonts w:ascii="Calibri" w:cs="Calibri" w:eastAsia="Calibri" w:hAnsi="Calibri"/>
          <w:b/>
          <w:bCs/>
          <w:color w:val="0E1A2B"/>
          <w:sz w:val="27"/>
          <w:szCs w:val="27"/>
        </w:rPr>
        <w:t xml:space="preserve">Farbcode</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53"/>
        <w:gridCol w:w="4753"/>
      </w:tblGrid>
      <w:tr>
        <w:tc>
          <w:tcPr>
            <w:tcW w:type="dxa" w:w="4753"/>
            <w:tcBorders>
              <w:top w:val="none" w:color="FFFFFF" w:sz="0"/>
              <w:left w:val="none" w:color="FFFFFF" w:sz="0"/>
              <w:bottom w:val="none" w:color="FFFFFF" w:sz="0"/>
              <w:right w:val="none" w:color="FFFFFF" w:sz="0"/>
            </w:tcBorders>
            <w:shd w:fill="1E9E63" w:color="auto" w:val="clear"/>
            <w:tcMar>
              <w:top w:type="dxa" w:w="200"/>
              <w:left w:type="dxa" w:w="140"/>
              <w:bottom w:type="dxa" w:w="200"/>
              <w:right w:type="dxa" w:w="140"/>
            </w:tcMar>
            <w:vAlign w:val="center"/>
          </w:tcPr>
          <w:p>
            <w:pPr>
              <w:keepLines/>
              <w:spacing w:after="0" w:before="0" w:line="264" w:lineRule="auto"/>
            </w:pPr>
            <w:r>
              <w:rPr>
                <w:rFonts w:ascii="Calibri" w:cs="Calibri" w:eastAsia="Calibri" w:hAnsi="Calibri"/>
                <w:b/>
                <w:bCs/>
                <w:color w:val="FFFFFF"/>
                <w:spacing w:val="40"/>
                <w:sz w:val="20"/>
                <w:szCs w:val="20"/>
              </w:rPr>
              <w:t xml:space="preserve">RICHTIG</w:t>
            </w:r>
            <w:r>
              <w:rPr>
                <w:rFonts w:ascii="Calibri" w:cs="Calibri" w:eastAsia="Calibri" w:hAnsi="Calibri"/>
                <w:color w:val="FFFFFF"/>
                <w:sz w:val="20"/>
                <w:szCs w:val="20"/>
              </w:rPr>
              <w:t xml:space="preserve">   grün markiert</w:t>
            </w:r>
          </w:p>
        </w:tc>
        <w:tc>
          <w:tcPr>
            <w:tcW w:type="dxa" w:w="4753"/>
            <w:tcBorders>
              <w:top w:val="none" w:color="FFFFFF" w:sz="0"/>
              <w:left w:val="none" w:color="FFFFFF" w:sz="0"/>
              <w:bottom w:val="none" w:color="FFFFFF" w:sz="0"/>
              <w:right w:val="none" w:color="FFFFFF" w:sz="0"/>
            </w:tcBorders>
            <w:shd w:fill="D7263D" w:color="auto" w:val="clear"/>
            <w:tcMar>
              <w:top w:type="dxa" w:w="200"/>
              <w:left w:type="dxa" w:w="140"/>
              <w:bottom w:type="dxa" w:w="200"/>
              <w:right w:type="dxa" w:w="140"/>
            </w:tcMar>
            <w:vAlign w:val="center"/>
          </w:tcPr>
          <w:p>
            <w:pPr>
              <w:keepLines/>
              <w:spacing w:after="0" w:before="0" w:line="264" w:lineRule="auto"/>
            </w:pPr>
            <w:r>
              <w:rPr>
                <w:rFonts w:ascii="Calibri" w:cs="Calibri" w:eastAsia="Calibri" w:hAnsi="Calibri"/>
                <w:b/>
                <w:bCs/>
                <w:color w:val="FFFFFF"/>
                <w:spacing w:val="40"/>
                <w:sz w:val="20"/>
                <w:szCs w:val="20"/>
              </w:rPr>
              <w:t xml:space="preserve">FALSCH</w:t>
            </w:r>
            <w:r>
              <w:rPr>
                <w:rFonts w:ascii="Calibri" w:cs="Calibri" w:eastAsia="Calibri" w:hAnsi="Calibri"/>
                <w:color w:val="FFFFFF"/>
                <w:sz w:val="20"/>
                <w:szCs w:val="20"/>
              </w:rPr>
              <w:t xml:space="preserve">   rot markiert</w:t>
            </w:r>
          </w:p>
        </w:tc>
      </w:tr>
    </w:tbl>
    <w:p>
      <w:pPr>
        <w:keepLines/>
        <w:spacing w:after="0" w:before="100" w:line="264" w:lineRule="auto"/>
      </w:pPr>
      <w:r>
        <w:rPr>
          <w:rFonts w:ascii="Calibri" w:cs="Calibri" w:eastAsia="Calibri" w:hAnsi="Calibri"/>
          <w:i/>
          <w:iCs/>
          <w:color w:val="5E6A7D"/>
          <w:sz w:val="19"/>
          <w:szCs w:val="19"/>
        </w:rPr>
        <w:t xml:space="preserve">Zusätzlich steht in der Spalte „Ergebnis“ ausdrücklich „richtig“ oder „falsch“, damit die Markierung auch im Schwarzweißdruck lesbar bleibt.</w:t>
      </w:r>
    </w:p>
    <w:p>
      <w:pPr>
        <w:sectPr>
          <w:headerReference w:type="default" r:id="rId7"/>
          <w:footerReference w:type="default" r:id="rId8"/>
          <w:pgSz w:w="11906" w:h="16838" w:orient="portrait"/>
          <w:pgMar w:top="1250" w:right="1200" w:bottom="900" w:left="1200" w:header="550" w:footer="450" w:gutter="0"/>
          <w:pgNumType/>
          <w:docGrid w:linePitch="360"/>
        </w:sectPr>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01</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2FC08A"/>
                <w:spacing w:val="60"/>
                <w:sz w:val="19"/>
                <w:szCs w:val="19"/>
              </w:rPr>
              <w:t xml:space="preserve">LEICHT</w:t>
            </w:r>
            <w:r>
              <w:rPr>
                <w:rFonts w:ascii="Calibri" w:cs="Calibri" w:eastAsia="Calibri" w:hAnsi="Calibri"/>
                <w:b/>
                <w:bCs/>
                <w:color w:val="98A3B8"/>
                <w:spacing w:val="60"/>
                <w:sz w:val="19"/>
                <w:szCs w:val="19"/>
              </w:rPr>
              <w:t xml:space="preserve">     FOLIE 5</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Welche der folgenden Begriffe bezeichnen einen der drei klassischen Authentifizierungsfaktoren?</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Das Faktorenmodell ist das Fundament des gesamten Vortrags. Wer es nicht sicher beherrscht, kann spätere Verfahren (Karte, App, Sicherheitsschlüssel) nicht einordnen. Die Frage prüft außerdem die Abgrenzung zu Nachbarbegriffen, die im Alltag oft vermischt werden.</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Autorisierung</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Autorisierung folgt erst nach erfolgreicher Authentifizierung und legt fest, was jemand darf. Sie ist kein Nachweis und damit kein Faktor.</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Besitz</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Ein gegenständlicher Nachweis, zum Beispiel Chipkarte, TAN Generator oder Sicherheitsschlüssel. Das BSI nennt genau diese Beispiele.</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Biometrie (im Gesetz: Inhärenz)</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Ein körperliches Merkmal wie Fingerabdruck oder Gesicht. Die PSD2 nennt diesen Faktor Inhärenz.</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Identifikation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Sie ist nur die Behauptung („Ich bin Anna“) und beweist nichts. Erst der Nachweis über einen Faktor macht daraus eine Authentifizierung.</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Wissen</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Etwas, das nur die berechtigte Person weiß, zum Beispiel Passwort oder PIN.</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02</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2FC08A"/>
                <w:spacing w:val="60"/>
                <w:sz w:val="19"/>
                <w:szCs w:val="19"/>
              </w:rPr>
              <w:t xml:space="preserve">LEICHT</w:t>
            </w:r>
            <w:r>
              <w:rPr>
                <w:rFonts w:ascii="Calibri" w:cs="Calibri" w:eastAsia="Calibri" w:hAnsi="Calibri"/>
                <w:b/>
                <w:bCs/>
                <w:color w:val="98A3B8"/>
                <w:spacing w:val="60"/>
                <w:sz w:val="19"/>
                <w:szCs w:val="19"/>
              </w:rPr>
              <w:t xml:space="preserve">     FOLIE 4</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Anna hält ihren Ausweis ans Werkstor, und das System prüft den vorgelegten Nachweis. Wie heißt dieser Prüfschritt im Sprachgebrauch des BSI?</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vier Begriffe Identifikation, Authentisierung, Authentifizierung und Autorisierung sind der häufigste Verwechslungsfehler im Thema. Die Frage nutzt das Werkstor aus unserem roten Faden und prüft, ob die Blickrichtung (Person legt vor, System prüft) verstanden wurde.</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Identifikation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Sie ist die bloße Behauptung, wer man ist, zum Beispiel über einen Benutzernamen.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Authentisierung</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ist die Gegenrichtung: Die Person legt ihren Nachweis vor. Hier hält Anna den Ausweis an den Leser.</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Autorisierung</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Sie entscheidet erst danach, was Anna darf, zum Beispiel ob sie Werk 2 betreten darf.</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Authentifizierung</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System prüft den vorgelegten Nachweis. Genau das passiert, wenn der Leser die Karte verifiziert.</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Verschlüsselung</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Verschlüsselung schützt die Vertraulichkeit von Daten. Sie ist kein Prüfschritt für die Identität.</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03</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2FC08A"/>
                <w:spacing w:val="60"/>
                <w:sz w:val="19"/>
                <w:szCs w:val="19"/>
              </w:rPr>
              <w:t xml:space="preserve">LEICHT</w:t>
            </w:r>
            <w:r>
              <w:rPr>
                <w:rFonts w:ascii="Calibri" w:cs="Calibri" w:eastAsia="Calibri" w:hAnsi="Calibri"/>
                <w:b/>
                <w:bCs/>
                <w:color w:val="98A3B8"/>
                <w:spacing w:val="60"/>
                <w:sz w:val="19"/>
                <w:szCs w:val="19"/>
              </w:rPr>
              <w:t xml:space="preserve">     FOLIE 5</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Anna soll sich über einen Besitzfaktor anmelden. Was kommt dafür in Frage?</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Zuordnung konkreter Beispiele zu den Faktoren ist die Kernkompetenz des Themas. Besonders wichtig ist die Abgrenzung zu Wissen: Auch ein Passwort aus dem Passwortmanager bleibt ein Wissensfaktor.</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Ihr Fingerabdruck</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Ein körperliches Merkmal gehört zur Biometrie, nicht zum Besitz.</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Die Sicherheitsfrage „Name der ersten Schule“</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ist Wissen. Zudem ist die Antwort oft aus öffentlichen Quellen herleitbar.</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Ein Passwort aus ihrem Passwortmanager</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Es bleibt ein gewusstes Geheimnis. Der Manager speichert Wissen, er macht daraus keinen Besitz.</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Ihr Dienstausweis mit Chip</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Ein Gegenstand, der Anna zugeordnet ist und den das System als Nachweis akzeptiert.</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Ein FIDO2 Sicherheitsschlüssel</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Ein Gegenstand, den nur Anna hat. Er gehört laut BSI ausdrücklich zu den Besitzfaktoren.</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04</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2FC08A"/>
                <w:spacing w:val="60"/>
                <w:sz w:val="19"/>
                <w:szCs w:val="19"/>
              </w:rPr>
              <w:t xml:space="preserve">LEICHT</w:t>
            </w:r>
            <w:r>
              <w:rPr>
                <w:rFonts w:ascii="Calibri" w:cs="Calibri" w:eastAsia="Calibri" w:hAnsi="Calibri"/>
                <w:b/>
                <w:bCs/>
                <w:color w:val="98A3B8"/>
                <w:spacing w:val="60"/>
                <w:sz w:val="19"/>
                <w:szCs w:val="19"/>
              </w:rPr>
              <w:t xml:space="preserve">     FOLIE 12</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Annas Ausweis arbeitet mit RFID. Was trifft darauf zu?</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RFID ist die Technik hinter Werkstor und Zeiterfassung und damit das erste Verfahren im Schwerpunkt Besitz. Die Frage prüft Grundverständnis von Aufbau, Energieversorgung und Frequenzen, bevor es um Sicherheit geht.</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Zum Auslesen ist Sichtkontakt zwischen Tag und Lesegerät nötig.</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ist der Unterschied zum Barcode: RFID funktioniert per Funk ohne Sichtkontakt.</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Tag im Ausweis braucht immer eine eigene Batterie.</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meisten Ausweise sind passiv und haben keine Batterie.</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Ein RFID System besteht aus Tag, Lesegerät und dem dahinterliegenden Informationssystem.</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Erst das Informationssystem ordnet die Kennung einer Person zu und löst die Aktion aus.</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Ein passiver Tag wird durch das Feld des Lesegeräts mit Strom versorgt.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Lesegerät erzeugt ein Feld, das den Chip versorgt, und der Chip antwortet.</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Heutige Ausweise arbeiten meist mit 125 Kilohertz, genau wie NFC im Smartphone.</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NFC und heutige Ausweise nutzen 13,56 Megahertz. 125 Kilohertz sind die ältere Technik.</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05</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5</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Welche der folgenden Kombinationen ist eine echte Zwei Faktor Authentifizierung?</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Hier steckt eine zentrale Aussage der Vorlesung: Mehrfaktor heißt verschiedene Kategorien, nicht mehrere Eingaben. Viele Anwendungen werben mit „zwei Stufen“, obwohl beide Stufen Wissen sind.</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Passwort und eine zweite PIN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Wissen und Wissen, auch mit unterschiedlichen Namen.</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Bankkarte und PIN</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Besitz plus Wissen sind zwei verschiedene Kategorien. Genau so funktioniert die Anmeldung am Geldautomaten.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Zwei verschiedene Passwörter</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Zweimal Wissen. Das ist eine Kategorie, also keine Zwei Faktor Authentifizierung.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PIN und Wischmuster zur Bildschirmsperre</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Beides sind gewusste Geheimnisse.</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Passwort und Sicherheitsfrage</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Ebenfalls zweimal Wissen.</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06</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14</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Anna gibt ihren Ausweis einem Kollegen, der damit für sie einstempelt (Buddy Punching). Was lässt sich daraus ableiten?</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Frage zeigt die Grenze des Besitzfaktors an einem Alltagsbeispiel. Sie verbindet das Informationsmanagement (Zeiterfassung) mit der Sicherheitslogik und führt zur Begründung, warum Besitz oft mit einem weiteren Faktor kombiniert wird.</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Die Stempeluhr braucht dafür zwingend eine Internetverbindung.</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Mit der Netzanbindung hat das Problem nichts zu tun.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Die Funkübertragung zwischen Ausweis und Leser wurde abgehört.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Es wurde nichts abgehört. Der Kollege hat den echten Ausweis benutzt.</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Das System prüft den Ausweis, nicht die Person.</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Der Leser kann nur feststellen, dass ein gültiger Gegenstand vorliegt.</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Besitz beweist immer nur, dass jemand den Gegenstand hat.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Wer den Gegenstand weitergibt, gibt auch die Berechtigung weiter.</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Eine zusätzliche PIN oder ein biometrisches Merkmal würde die Weitergabe erschweren.</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Dann wäre ein zweiter Faktor nötig, den der Kollege nicht ohne Weiteres hat.</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07</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13</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Warum lässt sich ein einfacher 125 Kilohertz Ausweis mit einem Lesegerät für wenige Euro kopieren?</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Der Einstieg in das Leitmotiv „Verlässt das Geheimnis den Gegenstand?“. Die Karte zeigt nur eine feste Nummer vor (Stufe 1, Vorzeigen). Die Frage macht deutlich, dass die Funktechnik selbst keine Sicherheit bringt.</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seine Reichweite mehrere Meter beträgt.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Reichweite liegt bei wenigen Zentimetern. Mehrere Meter schafft nur UHF in der Logistik.</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auf dem Ausweis eine PIN gespeichert ist, die sich auslesen lässt.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Diese Karten speichern keine PIN. Sie senden nur ihre Kennung.</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Weil er immer dieselbe feste Nummer unverschlüsselt sendet, die sich auf eine Blankokarte schreiben lässt.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Wer die Nummer mitliest, hat aus Sicht des Systems den Gegenstand. Der Branchenverband BHE rät von dieser Technik ab.</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für das Auslesen Sichtkontakt zum Leser nötig ist.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Sichtkontakt ist bei RFID gerade nicht nötig.</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Weil er mit AES 128 verschlüsselt ist.</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Das Gegenteil: Moderne Karten wie DESFire EV3 sind mit AES verschlüsselt und deshalb gerade nicht so einfach kopierbar.</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08</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18</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Eine Authenticator App zeigt alle 30 Sekunden einen neuen sechsstelligen Code (TOTP). Was trifft darauf zu?</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TOTP ist das meistgenutzte Verfahren für den zweiten Faktor, wird aber oft für sicherer gehalten, als es ist. Die Frage prüft Funktionsweise und Schwäche zugleich und bereitet den Kontrast zu FIDO2 vor.</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Der Code kann auf einer täuschend echten Phishingseite abgegriffen und in Echtzeit weitergereicht werden.</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Der Code ist übertragbar. Deshalb stuft das NIST Einmalcodes nicht als phishingresistent ein.</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Der Code ergibt sich aus dem gemeinsamen Geheimnis und der aktuellen Uhrzeit.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App und Server rechnen unabhängig voneinander dasselbe Ergebnis aus (RFC 6238).</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Server schickt den Code per SMS an die App.</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App erzeugt den Code selbst. Eine SMS ist ein anderes Verfahren.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Die App muss zum Berechnen online sein.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Berechnung läuft lokal. Nur die Uhrzeit muss ungefähr stimmen.</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App und Server kennen ein gemeinsames Geheimnis, das beim Einrichten über einen QR Code übertragen wird.</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Dieses Geheimnis ist die Grundlage der Codeberechnung.</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09</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19</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Das NIST stuft die SMS als Übertragungsweg für den zweiten Faktor nur noch als eingeschränkt nutzbar ein. Welche Gründe passen dazu?</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SMS ist in der Praxis noch weit verbreitet. Die Frage zeigt, warum „bequem“ und „sicher“ hier auseinanderfallen, und belegt es mit dem Angriff SIM Swapping (FBI: 2021 über 1.600 Beschwerden, über 68 Millionen Dollar Schaden).</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Die Nachricht kommt technisch bedingt immer zu spät an.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Verzögerungen gibt es manchmal, sie sind aber kein Sicherheitsargument.</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Man besitzt eigentlich die Rufnummer, nicht das Gerät.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Rufnummer lässt sich beim Anbieter auf eine andere SIM übertragen.</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Täter lassen die Nummer per SIM Swapping auf ihre eigene SIM übertragen und empfangen danach alle Codes.</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Ab dann kommen die Codes beim Täter an. Der Besitzfaktor ist faktisch gestohlen.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Code wird auch ohne Passwort akzeptiert.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SMS ist der zweite Faktor. Das Passwort wird weiterhin abgefragt.</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Die Codes haben zu wenige Stellen.</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Die Stellenzahl ist nicht das Problem. Der Übertragungsweg ist es.</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10</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0A92E"/>
                <w:spacing w:val="60"/>
                <w:sz w:val="19"/>
                <w:szCs w:val="19"/>
              </w:rPr>
              <w:t xml:space="preserve">MITTEL</w:t>
            </w:r>
            <w:r>
              <w:rPr>
                <w:rFonts w:ascii="Calibri" w:cs="Calibri" w:eastAsia="Calibri" w:hAnsi="Calibri"/>
                <w:b/>
                <w:bCs/>
                <w:color w:val="98A3B8"/>
                <w:spacing w:val="60"/>
                <w:sz w:val="19"/>
                <w:szCs w:val="19"/>
              </w:rPr>
              <w:t xml:space="preserve">     FOLIE 15</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Bei welchen der folgenden Gegenstände genügt ein Lesegerät, um eine funktionierende Kopie zu erstellen, weil die Daten statisch gespeichert sind?</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Frage zeigt den Schritt vom Vorzeigen zum Beweisen an der Kartengeschichte. Statische Daten lassen sich kopieren, ein Schlüssel im Chip dagegen nicht. Die Wirkung ist messbar: Nach der Einführung des EMV Chips bei den rund 94 Millionen girocards halbierte sich der Skimming Schaden in Deutschland ungefähr.</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EMV Chip einer girocard</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Der geheime Schlüssel liegt im Chip und lässt sich nicht auslesen. Der Chip rechnet die Antwort selbst.</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Nitrokey 3A NFC als FIDO2 Schlüssel</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Der private Schlüssel verlässt den Nitrokey nie. Ein Kopieren durch bloßes Auslesen ist nicht möglich.</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Eine 125 Kilohertz Zutrittskarte mit fester Kennung</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feste Nummer wird unverschlüsselt gesendet und lässt sich kopieren.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Eine Smartcard mit nicht auslesbarem Schlüssel</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Genau das unterscheidet die Smartcard: Sie hat einen eigenen Prozessor und beweist ihren Besitz, statt ihn nur vorzuzeigen.</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Der Magnetstreifen einer älteren Bankkarte</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Die Daten sind statisch. Ein präpariertes Lesegerät am Geldautomaten liest sie aus (Skimming), und die Kopie funktioniert wie das Original.</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11</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F6B7F"/>
                <w:spacing w:val="60"/>
                <w:sz w:val="19"/>
                <w:szCs w:val="19"/>
              </w:rPr>
              <w:t xml:space="preserve">SCHWER</w:t>
            </w:r>
            <w:r>
              <w:rPr>
                <w:rFonts w:ascii="Calibri" w:cs="Calibri" w:eastAsia="Calibri" w:hAnsi="Calibri"/>
                <w:b/>
                <w:bCs/>
                <w:color w:val="98A3B8"/>
                <w:spacing w:val="60"/>
                <w:sz w:val="19"/>
                <w:szCs w:val="19"/>
              </w:rPr>
              <w:t xml:space="preserve">     FOLIE 20</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Welche Aussagen zur starken Kundenauthentifizierung nach PSD2 und zum chipTAN Verfahren stimmen?</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Der Banking Fall ist der einzige im roten Faden, in dem der Besitzfaktor gesetzlich vorgeschrieben ist. Die Frage prüft die gesetzliche Grundlage, die dynamische Verknüpfung (Art. 97 PSD2) und, als Brücke zu Uber, die Grenze: Es funktioniert nur, wenn der Mensch auch hinschaut.</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Eine TAN gilt für beliebige Überweisungen des Kunden innerhalb weniger Minuten.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widerspricht der dynamischen Verknüpfung, die genau das verhindert.</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Die TAN gilt nur für genau diesen Betrag und genau diesen Empfänger.</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ist die dynamische Verknüpfung. Eine abgefangene TAN ist für andere Aufträge wertlos.</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Ein manipulierter Auftrag fällt nur auf, wenn die Kundin Betrag und IBAN auf dem Display prüft.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Die Technik zeigt die echten Daten an, aber der Mensch muss sie kontrollieren.</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Seit 2019 sind mindestens zwei Elemente aus Wissen, Besitz und Inhärenz verlangt.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So lautet die Anforderung der PSD2 an die starke Kundenauthentifizierung.</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Der chipTAN Generator benötigt eine Internetverbindung.</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Der Generator arbeitet ohne Netzanbindung. Er ist nicht über das Netz angreifbar, und die echten Daten stehen auf seinem Display.</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12</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F6B7F"/>
                <w:spacing w:val="60"/>
                <w:sz w:val="19"/>
                <w:szCs w:val="19"/>
              </w:rPr>
              <w:t xml:space="preserve">SCHWER</w:t>
            </w:r>
            <w:r>
              <w:rPr>
                <w:rFonts w:ascii="Calibri" w:cs="Calibri" w:eastAsia="Calibri" w:hAnsi="Calibri"/>
                <w:b/>
                <w:bCs/>
                <w:color w:val="98A3B8"/>
                <w:spacing w:val="60"/>
                <w:sz w:val="19"/>
                <w:szCs w:val="19"/>
              </w:rPr>
              <w:t xml:space="preserve">     FOLIE 19</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Wie gelang dem Angreifer 2022 der Zugriff auf Systeme von Uber, obwohl eine Push Bestätigung als zweiter Faktor eingerichtet war?</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Der Uber Fall zeigt als einziger im Vortrag, dass ein vorhandener Besitzfaktor wirkungslos sein kann, wenn niemand prüft, wer ihn bestätigt (MFA Fatigue). Die Frage verlangt, mehrere Teile des Angriffs zu kennen und von SIM Swapping zu unterscheiden.</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Mit einem gestohlenen Hardware Sicherheitsschlüssel</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Hardwareschlüssel waren nicht beteiligt. Sie wären gegen diesen Angriff gerade gut gewesen.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Per SIM Swapping der Rufnummer des Mitarbeiters</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SIM Swapping betrifft die SMS. Bei Uber ging es um Push Anfragen.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Durch Knacken der Verschlüsselung der Authenticator App</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Es wurde nichts entschlüsselt. Der Mitarbeiter hat selbst bestätigt.</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Durch eine Flut von Anfragen, bis der Mitarbeiter bestätigte, verbunden mit einer Nachricht als angebliche Uber IT</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ist MFA Fatigue plus Social Engineering über WhatsApp („einmal bestätigen, dann hört es auf“).</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Mit einem zuvor im Darknet gekauften Passwort des Mitarbeiters</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Das Passwort war die Eintrittskarte. Nur der zweite Faktor stand noch im Weg.</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13</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F6B7F"/>
                <w:spacing w:val="60"/>
                <w:sz w:val="19"/>
                <w:szCs w:val="19"/>
              </w:rPr>
              <w:t xml:space="preserve">SCHWER</w:t>
            </w:r>
            <w:r>
              <w:rPr>
                <w:rFonts w:ascii="Calibri" w:cs="Calibri" w:eastAsia="Calibri" w:hAnsi="Calibri"/>
                <w:b/>
                <w:bCs/>
                <w:color w:val="98A3B8"/>
                <w:spacing w:val="60"/>
                <w:sz w:val="19"/>
                <w:szCs w:val="19"/>
              </w:rPr>
              <w:t xml:space="preserve">     FOLIE 21</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Was gilt bei der Registrierung eines FIDO2 Sicherheitsschlüssels bei einem Online Dienst?</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Registrierung ist der Kern von Stufe zwei (Beweisen statt Vorzeigen) und wird in der Live Demo mit dem Nitrokey gezeigt. Wer versteht, welcher Schlüssel wohin wandert, versteht auch, warum ein Datenleck beim Dienst hier folgenlos bleibt.</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Der Dienst erhält nur den öffentlichen Schlüssel.</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Mit ihm kann er Unterschriften prüfen, aber keine erzeugen.</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Der Schlüssel erzeugt für jeden Dienst ein eigenes Schlüsselpaar.</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Das verhindert, dass sich Konten bei verschiedenen Diensten verknüpfen lassen.</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Dienst erhält ein Fingerabdruck Template des Nutzers.</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Biometrische Daten bleiben, wenn überhaupt, auf dem Schlüssel selbst.</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Der Dienst speichert zusätzlich den privaten Schlüssel, damit er ihn bei Verlust wiederherstellen kann.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Der private Schlüssel verlässt den Stick nie. Ein Dienst hat ihn nie.</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Bei einem Hack des Dienstes erbeuten Täter nur öffentliche Schlüssel, mit denen sich niemand anmelden kann.</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Öffentliche Schlüssel sind wertlos für Angreifer, anders als gestohlene Passwörter.</w:t>
            </w:r>
          </w:p>
        </w:tc>
      </w:tr>
    </w:tbl>
    <w:p>
      <w:pPr>
        <w:keepLines/>
        <w:spacing w:after="200" w:before="0" w:line="264" w:lineRule="auto"/>
      </w:pPr>
      <w:r>
        <w:rPr>
          <w:rFonts w:ascii="Calibri" w:cs="Calibri" w:eastAsia="Calibri" w:hAnsi="Calibri"/>
          <w:color w:val="1B2433"/>
          <w:sz w:val="21"/>
          <w:szCs w:val="21"/>
        </w:rPr>
        <w:t xml:space="preserve"/>
      </w: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14</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F6B7F"/>
                <w:spacing w:val="60"/>
                <w:sz w:val="19"/>
                <w:szCs w:val="19"/>
              </w:rPr>
              <w:t xml:space="preserve">SCHWER</w:t>
            </w:r>
            <w:r>
              <w:rPr>
                <w:rFonts w:ascii="Calibri" w:cs="Calibri" w:eastAsia="Calibri" w:hAnsi="Calibri"/>
                <w:b/>
                <w:bCs/>
                <w:color w:val="98A3B8"/>
                <w:spacing w:val="60"/>
                <w:sz w:val="19"/>
                <w:szCs w:val="19"/>
              </w:rPr>
              <w:t xml:space="preserve">     FOLIE 21</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Warum ist FIDO2 phishingresistent, eine Authenticator App mit TOTP aber nicht?</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zentrale Erkenntnis des Vortrags: Nicht der Gegenstand macht den Unterschied, sondern ob das Geheimnis den Gegenstand verlässt. Mit der Frage wird das Leitmotiv am wichtigsten Beispiel abgeprüft. Zugleich erklärt sie, warum Google seit 2017 keine erfolgreiche Kontoübernahme per Phishing mehr hatte.</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Weil der Schlüssel die Challenge nur für die Domain unterschreibt, bei der er registriert wurde.</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Auf einer Phishingseite mit anderer Adresse entsteht keine gültige Signatur, und es gibt keinen Code, den man weitergeben könnte.</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FIDO2 längere Codes verwendet.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FIDO2 verwendet keine abtippbaren Codes. Genau das ist der Punkt.</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FIDO2 immer einen Fingerabdruck verlangt.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Eine Berührung oder PIN genügt. Biometrie ist nicht Voraussetzung.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Weil der Sicherheitsschlüssel Phishingseiten anhand einer Sperrliste erkennt.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Es gibt keine Sperrliste. Der Schutz entsteht durch die Bindung an die Domain.</w:t>
            </w:r>
          </w:p>
        </w:tc>
      </w:tr>
      <w:tr>
        <w:trPr>
          <w:cantSplit/>
        </w:trPr>
        <w:tc>
          <w:tcPr>
            <w:tcW w:type="dxa" w:w="620"/>
            <w:tcBorders>
              <w:top w:val="none" w:color="FFFFFF" w:sz="0"/>
              <w:left w:val="none" w:color="FFFFFF" w:sz="0"/>
              <w:bottom w:val="none" w:color="FFFFFF" w:sz="0"/>
              <w:right w:val="none" w:color="FFFFFF" w:sz="0"/>
            </w:tcBorders>
            <w:shd w:fill="D7263D"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A31B2E"/>
                <w:sz w:val="19"/>
                <w:szCs w:val="19"/>
              </w:rPr>
              <w:t xml:space="preserve">Weil TOTP Codes nie ablaufen.</w:t>
            </w:r>
          </w:p>
        </w:tc>
        <w:tc>
          <w:tcPr>
            <w:tcW w:type="dxa" w:w="1050"/>
            <w:tcBorders>
              <w:top w:val="none" w:color="FFFFFF" w:sz="0"/>
              <w:left w:val="none" w:color="FFFFFF" w:sz="0"/>
              <w:bottom w:val="none" w:color="FFFFFF" w:sz="0"/>
              <w:right w:val="none" w:color="FFFFFF" w:sz="0"/>
            </w:tcBorders>
            <w:shd w:fill="FBE8EB"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none" w:color="FFFFFF" w:sz="0"/>
              <w:right w:val="none" w:color="FFFFFF" w:sz="0"/>
            </w:tcBorders>
            <w:shd w:fill="FBE8EB"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TOTP Codes laufen alle 30 Sekunden ab. Das reicht dem Angreifer, der in Echtzeit weiterreicht.</w:t>
            </w:r>
          </w:p>
        </w:tc>
      </w:tr>
    </w:tbl>
    <w:p>
      <w:pPr>
        <w:pageBreakBefore/>
        <w:spacing w:after="0" w:before="0" w:line="20" w:lineRule="exact"/>
      </w:pPr>
    </w:p>
    <w:tbl>
      <w:tblPr>
        <w:tblW w:type="dxa" w:w="95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0"/>
        <w:gridCol w:w="3100"/>
        <w:gridCol w:w="1050"/>
        <w:gridCol w:w="4736"/>
      </w:tblGrid>
      <w:tr>
        <w:trPr>
          <w:cantSplit/>
        </w:trPr>
        <w:tc>
          <w:tcPr>
            <w:tcW w:type="dxa" w:w="3720"/>
            <w:gridSpan w:val="2"/>
            <w:tcBorders>
              <w:top w:val="none" w:color="FFFFFF" w:sz="0"/>
              <w:left w:val="none" w:color="FFFFFF" w:sz="0"/>
              <w:bottom w:val="none" w:color="FFFFFF" w:sz="0"/>
              <w:right w:val="none" w:color="FFFFFF" w:sz="0"/>
            </w:tcBorders>
            <w:shd w:fill="0E1A2B" w:color="auto" w:val="clear"/>
            <w:tcMar>
              <w:top w:type="dxa" w:w="100"/>
              <w:left w:type="dxa" w:w="200"/>
              <w:bottom w:type="dxa" w:w="100"/>
              <w:right w:type="dxa" w:w="140"/>
            </w:tcMar>
            <w:vAlign w:val="center"/>
          </w:tcPr>
          <w:p>
            <w:pPr>
              <w:keepNext/>
              <w:keepLines/>
              <w:spacing w:after="0" w:before="0" w:line="264" w:lineRule="auto"/>
            </w:pPr>
            <w:r>
              <w:rPr>
                <w:rFonts w:ascii="Calibri" w:cs="Calibri" w:eastAsia="Calibri" w:hAnsi="Calibri"/>
                <w:b/>
                <w:bCs/>
                <w:color w:val="FFFFFF"/>
                <w:spacing w:val="60"/>
                <w:sz w:val="20"/>
                <w:szCs w:val="20"/>
              </w:rPr>
              <w:t xml:space="preserve">FRAGE </w:t>
            </w:r>
            <w:r>
              <w:rPr>
                <w:rFonts w:ascii="Calibri" w:cs="Calibri" w:eastAsia="Calibri" w:hAnsi="Calibri"/>
                <w:b/>
                <w:bCs/>
                <w:color w:val="FFFFFF"/>
                <w:sz w:val="34"/>
                <w:szCs w:val="34"/>
              </w:rPr>
              <w:t xml:space="preserve">15</w:t>
            </w:r>
          </w:p>
        </w:tc>
        <w:tc>
          <w:tcPr>
            <w:tcW w:type="dxa" w:w="5786"/>
            <w:gridSpan w:val="2"/>
            <w:tcBorders>
              <w:top w:val="none" w:color="FFFFFF" w:sz="0"/>
              <w:left w:val="none" w:color="FFFFFF" w:sz="0"/>
              <w:bottom w:val="none" w:color="FFFFFF" w:sz="0"/>
              <w:right w:val="none" w:color="FFFFFF" w:sz="0"/>
            </w:tcBorders>
            <w:shd w:fill="0E1A2B" w:color="auto" w:val="clear"/>
            <w:tcMar>
              <w:top w:type="dxa" w:w="100"/>
              <w:left w:type="dxa" w:w="140"/>
              <w:bottom w:type="dxa" w:w="100"/>
              <w:right w:type="dxa" w:w="200"/>
            </w:tcMar>
            <w:vAlign w:val="center"/>
          </w:tcPr>
          <w:p>
            <w:pPr>
              <w:keepNext/>
              <w:keepLines/>
              <w:spacing w:after="0" w:before="0" w:line="264" w:lineRule="auto"/>
              <w:jc w:val="right"/>
            </w:pPr>
            <w:r>
              <w:rPr>
                <w:rFonts w:ascii="Calibri" w:cs="Calibri" w:eastAsia="Calibri" w:hAnsi="Calibri"/>
                <w:b/>
                <w:bCs/>
                <w:color w:val="FF6B7F"/>
                <w:spacing w:val="60"/>
                <w:sz w:val="19"/>
                <w:szCs w:val="19"/>
              </w:rPr>
              <w:t xml:space="preserve">SCHWER</w:t>
            </w:r>
            <w:r>
              <w:rPr>
                <w:rFonts w:ascii="Calibri" w:cs="Calibri" w:eastAsia="Calibri" w:hAnsi="Calibri"/>
                <w:b/>
                <w:bCs/>
                <w:color w:val="98A3B8"/>
                <w:spacing w:val="60"/>
                <w:sz w:val="19"/>
                <w:szCs w:val="19"/>
              </w:rPr>
              <w:t xml:space="preserve">     FOLIE 23</w:t>
            </w:r>
          </w:p>
        </w:tc>
      </w:tr>
      <w:tr>
        <w:trPr>
          <w:cantSplit/>
        </w:trPr>
        <w:tc>
          <w:tcPr>
            <w:tcW w:type="dxa" w:w="9506"/>
            <w:gridSpan w:val="4"/>
            <w:tcBorders>
              <w:top w:val="none" w:color="FFFFFF" w:sz="0"/>
              <w:left w:val="none" w:color="FFFFFF" w:sz="0"/>
              <w:bottom w:val="none" w:color="FFFFFF" w:sz="0"/>
              <w:right w:val="none" w:color="FFFFFF" w:sz="0"/>
            </w:tcBorders>
            <w:shd w:fill="F3F5F9" w:color="auto" w:val="clear"/>
            <w:tcMar>
              <w:top w:type="dxa" w:w="110"/>
              <w:left w:type="dxa" w:w="200"/>
              <w:bottom w:type="dxa" w:w="110"/>
              <w:right w:type="dxa" w:w="200"/>
            </w:tcMar>
            <w:vAlign w:val="center"/>
          </w:tcPr>
          <w:p>
            <w:pPr>
              <w:keepNext/>
              <w:keepLines/>
              <w:spacing w:after="0" w:before="0" w:line="276" w:lineRule="auto"/>
            </w:pPr>
            <w:r>
              <w:rPr>
                <w:rFonts w:ascii="Calibri" w:cs="Calibri" w:eastAsia="Calibri" w:hAnsi="Calibri"/>
                <w:b/>
                <w:bCs/>
                <w:color w:val="0E1A2B"/>
                <w:sz w:val="25"/>
                <w:szCs w:val="25"/>
              </w:rPr>
              <w:t xml:space="preserve">Ein Unternehmen verlangt die höchste Sicherheitsstufe (AAL3 nach NIST SP 800 63B 4). Was gilt für Passkeys und Sicherheitsschlüssel?</w:t>
            </w:r>
          </w:p>
        </w:tc>
      </w:tr>
      <w:tr>
        <w:trPr>
          <w:cantSplit/>
        </w:trPr>
        <w:tc>
          <w:tcPr>
            <w:tcW w:type="dxa" w:w="9506"/>
            <w:gridSpan w:val="4"/>
            <w:tcBorders>
              <w:top w:val="none" w:color="FFFFFF" w:sz="0"/>
              <w:left w:val="single" w:color="D7263D" w:sz="24"/>
              <w:bottom w:val="single" w:color="D5DBE5" w:sz="4"/>
              <w:right w:val="none" w:color="FFFFFF" w:sz="0"/>
            </w:tcBorders>
            <w:tcMar>
              <w:top w:type="dxa" w:w="90"/>
              <w:left w:type="dxa" w:w="200"/>
              <w:bottom w:type="dxa" w:w="90"/>
              <w:right w:type="dxa" w:w="200"/>
            </w:tcMar>
            <w:vAlign w:val="center"/>
          </w:tcPr>
          <w:p>
            <w:pPr>
              <w:keepNext/>
              <w:keepLines/>
              <w:spacing w:after="40" w:before="0" w:line="264" w:lineRule="auto"/>
            </w:pPr>
            <w:r>
              <w:rPr>
                <w:rFonts w:ascii="Calibri" w:cs="Calibri" w:eastAsia="Calibri" w:hAnsi="Calibri"/>
                <w:b/>
                <w:bCs/>
                <w:color w:val="D7263D"/>
                <w:spacing w:val="50"/>
                <w:sz w:val="16"/>
                <w:szCs w:val="16"/>
              </w:rPr>
              <w:t xml:space="preserve">WARUM DIESE FRAGE</w:t>
            </w:r>
          </w:p>
          <w:p>
            <w:pPr>
              <w:keepNext/>
              <w:keepLines/>
              <w:spacing w:after="0" w:before="0" w:line="255" w:lineRule="auto"/>
            </w:pPr>
            <w:r>
              <w:rPr>
                <w:rFonts w:ascii="Calibri" w:cs="Calibri" w:eastAsia="Calibri" w:hAnsi="Calibri"/>
                <w:color w:val="2B3548"/>
                <w:sz w:val="19"/>
                <w:szCs w:val="19"/>
              </w:rPr>
              <w:t xml:space="preserve">Die Frage zieht die letzte Konsequenz aus dem Leitmotiv: Selbst ein phishingresistentes Verfahren hat einen Kompromiss, wenn der Schlüssel das Gerät verlassen kann. Sie prüft, ob zwischen Komfort (Synchronisierung) und höchster Sicherheit (nicht exportierbarer Schlüssel) unterschieden werden kann.</w:t>
            </w:r>
          </w:p>
        </w:tc>
      </w:tr>
      <w:tr>
        <w:trPr>
          <w:cantSplit/>
        </w:trPr>
        <w:tc>
          <w:tcPr>
            <w:tcW w:type="dxa" w:w="62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color w:val="1B2433"/>
                <w:sz w:val="21"/>
                <w:szCs w:val="21"/>
              </w:rPr>
              <w:t xml:space="preserve"/>
            </w:r>
          </w:p>
        </w:tc>
        <w:tc>
          <w:tcPr>
            <w:tcW w:type="dxa" w:w="3100"/>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ANTWORTMÖGLICHKEIT</w:t>
            </w:r>
          </w:p>
        </w:tc>
        <w:tc>
          <w:tcPr>
            <w:tcW w:type="dxa" w:w="1050"/>
            <w:tcBorders>
              <w:top w:val="none" w:color="FFFFFF" w:sz="0"/>
              <w:left w:val="none" w:color="FFFFFF" w:sz="0"/>
              <w:bottom w:val="none" w:color="FFFFFF" w:sz="0"/>
              <w:right w:val="none" w:color="FFFFFF" w:sz="0"/>
            </w:tcBorders>
            <w:shd w:fill="E6EAF1" w:color="auto" w:val="clear"/>
            <w:tcMar>
              <w:top w:type="dxa" w:w="40"/>
              <w:left w:type="dxa" w:w="60"/>
              <w:bottom w:type="dxa" w:w="40"/>
              <w:right w:type="dxa" w:w="60"/>
            </w:tcMar>
            <w:vAlign w:val="center"/>
          </w:tcPr>
          <w:p>
            <w:pPr>
              <w:keepNext/>
              <w:keepLines/>
              <w:spacing w:after="0" w:before="0" w:line="264" w:lineRule="auto"/>
              <w:jc w:val="center"/>
            </w:pPr>
            <w:r>
              <w:rPr>
                <w:rFonts w:ascii="Calibri" w:cs="Calibri" w:eastAsia="Calibri" w:hAnsi="Calibri"/>
                <w:b/>
                <w:bCs/>
                <w:color w:val="5E6A7D"/>
                <w:spacing w:val="40"/>
                <w:sz w:val="15"/>
                <w:szCs w:val="15"/>
              </w:rPr>
              <w:t xml:space="preserve">ERGEBNIS</w:t>
            </w:r>
          </w:p>
        </w:tc>
        <w:tc>
          <w:tcPr>
            <w:tcW w:type="dxa" w:w="4736"/>
            <w:tcBorders>
              <w:top w:val="none" w:color="FFFFFF" w:sz="0"/>
              <w:left w:val="none" w:color="FFFFFF" w:sz="0"/>
              <w:bottom w:val="none" w:color="FFFFFF" w:sz="0"/>
              <w:right w:val="none" w:color="FFFFFF" w:sz="0"/>
            </w:tcBorders>
            <w:shd w:fill="E6EAF1" w:color="auto" w:val="clear"/>
            <w:tcMar>
              <w:top w:type="dxa" w:w="40"/>
              <w:left w:type="dxa" w:w="140"/>
              <w:bottom w:type="dxa" w:w="40"/>
              <w:right w:type="dxa" w:w="140"/>
            </w:tcMar>
            <w:vAlign w:val="center"/>
          </w:tcPr>
          <w:p>
            <w:pPr>
              <w:keepNext/>
              <w:keepLines/>
              <w:spacing w:after="0" w:before="0" w:line="264" w:lineRule="auto"/>
            </w:pPr>
            <w:r>
              <w:rPr>
                <w:rFonts w:ascii="Calibri" w:cs="Calibri" w:eastAsia="Calibri" w:hAnsi="Calibri"/>
                <w:b/>
                <w:bCs/>
                <w:color w:val="5E6A7D"/>
                <w:spacing w:val="40"/>
                <w:sz w:val="15"/>
                <w:szCs w:val="15"/>
              </w:rPr>
              <w:t xml:space="preserve">BEGRÜNDUNG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A</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Synchronisierte Passkeys sind grundsätzlich nicht phishingresistent.</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Sie sind phishingresistent, denn auch sie sind an die Domain gebunden. Der Kompromiss liegt an anderer Stelle.</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B</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Passkeys funktionieren ausschließlich auf Apple Geräten.</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Apple, Google und Microsoft unterstützen Passkeys gemeinsam.</w:t>
            </w:r>
          </w:p>
        </w:tc>
      </w:tr>
      <w:tr>
        <w:trPr>
          <w:cantSplit/>
        </w:trPr>
        <w:tc>
          <w:tcPr>
            <w:tcW w:type="dxa" w:w="620"/>
            <w:tcBorders>
              <w:top w:val="none" w:color="FFFFFF" w:sz="0"/>
              <w:left w:val="none" w:color="FFFFFF" w:sz="0"/>
              <w:bottom w:val="single" w:color="FFFFFF" w:sz="8"/>
              <w:right w:val="none" w:color="FFFFFF" w:sz="0"/>
            </w:tcBorders>
            <w:shd w:fill="1E9E63"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C</w:t>
            </w:r>
          </w:p>
        </w:tc>
        <w:tc>
          <w:tcPr>
            <w:tcW w:type="dxa" w:w="3100"/>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12683F"/>
                <w:sz w:val="19"/>
                <w:szCs w:val="19"/>
              </w:rPr>
              <w:t xml:space="preserve">Ein Hardware Sicherheitsschlüssel, dessen privater Schlüssel das Gerät nie verlässt, bleibt der Weg für AAL3.</w:t>
            </w:r>
          </w:p>
        </w:tc>
        <w:tc>
          <w:tcPr>
            <w:tcW w:type="dxa" w:w="1050"/>
            <w:tcBorders>
              <w:top w:val="none" w:color="FFFFFF" w:sz="0"/>
              <w:left w:val="none" w:color="FFFFFF" w:sz="0"/>
              <w:bottom w:val="single" w:color="FFFFFF" w:sz="8"/>
              <w:right w:val="none" w:color="FFFFFF" w:sz="0"/>
            </w:tcBorders>
            <w:shd w:fill="E3F5EA"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single" w:color="FFFFFF" w:sz="8"/>
              <w:right w:val="none" w:color="FFFFFF" w:sz="0"/>
            </w:tcBorders>
            <w:shd w:fill="E3F5EA"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Nur ein nicht exportierbarer Schlüssel erfüllt die Anforderung.</w:t>
            </w:r>
          </w:p>
        </w:tc>
      </w:tr>
      <w:tr>
        <w:trPr>
          <w:cantSplit/>
        </w:trPr>
        <w:tc>
          <w:tcPr>
            <w:tcW w:type="dxa" w:w="620"/>
            <w:tcBorders>
              <w:top w:val="none" w:color="FFFFFF" w:sz="0"/>
              <w:left w:val="none" w:color="FFFFFF" w:sz="0"/>
              <w:bottom w:val="single" w:color="FFFFFF" w:sz="8"/>
              <w:right w:val="none" w:color="FFFFFF" w:sz="0"/>
            </w:tcBorders>
            <w:shd w:fill="D7263D" w:color="auto" w:val="clear"/>
            <w:tcMar>
              <w:top w:type="dxa" w:w="55"/>
              <w:left w:type="dxa" w:w="40"/>
              <w:bottom w:type="dxa" w:w="55"/>
              <w:right w:type="dxa" w:w="40"/>
            </w:tcMar>
            <w:vAlign w:val="center"/>
          </w:tcPr>
          <w:p>
            <w:pPr>
              <w:keepNext/>
              <w:keepLines/>
              <w:spacing w:after="0" w:before="0" w:line="264" w:lineRule="auto"/>
              <w:jc w:val="center"/>
            </w:pPr>
            <w:r>
              <w:rPr>
                <w:rFonts w:ascii="Calibri" w:cs="Calibri" w:eastAsia="Calibri" w:hAnsi="Calibri"/>
                <w:b/>
                <w:bCs/>
                <w:color w:val="FFFFFF"/>
                <w:sz w:val="28"/>
                <w:szCs w:val="28"/>
              </w:rPr>
              <w:t xml:space="preserve">D</w:t>
            </w:r>
          </w:p>
        </w:tc>
        <w:tc>
          <w:tcPr>
            <w:tcW w:type="dxa" w:w="3100"/>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b/>
                <w:bCs/>
                <w:color w:val="A31B2E"/>
                <w:sz w:val="19"/>
                <w:szCs w:val="19"/>
              </w:rPr>
              <w:t xml:space="preserve">Für AAL3 genügt eine Authenticator App mit TOTP.</w:t>
            </w:r>
          </w:p>
        </w:tc>
        <w:tc>
          <w:tcPr>
            <w:tcW w:type="dxa" w:w="1050"/>
            <w:tcBorders>
              <w:top w:val="none" w:color="FFFFFF" w:sz="0"/>
              <w:left w:val="none" w:color="FFFFFF" w:sz="0"/>
              <w:bottom w:val="single" w:color="FFFFFF" w:sz="8"/>
              <w:right w:val="none" w:color="FFFFFF" w:sz="0"/>
            </w:tcBorders>
            <w:shd w:fill="FBE8EB" w:color="auto" w:val="clear"/>
            <w:tcMar>
              <w:top w:type="dxa" w:w="55"/>
              <w:left w:type="dxa" w:w="60"/>
              <w:bottom w:type="dxa" w:w="55"/>
              <w:right w:type="dxa" w:w="60"/>
            </w:tcMar>
            <w:vAlign w:val="center"/>
          </w:tcPr>
          <w:p>
            <w:pPr>
              <w:keepNext/>
              <w:keepLines/>
              <w:spacing w:after="0" w:before="0" w:line="264" w:lineRule="auto"/>
              <w:jc w:val="center"/>
            </w:pPr>
            <w:r>
              <w:rPr>
                <w:rFonts w:ascii="Calibri" w:cs="Calibri" w:eastAsia="Calibri" w:hAnsi="Calibri"/>
                <w:b/>
                <w:bCs/>
                <w:color w:val="A31B2E"/>
                <w:spacing w:val="20"/>
                <w:sz w:val="19"/>
                <w:szCs w:val="19"/>
              </w:rPr>
              <w:t xml:space="preserve">falsch</w:t>
            </w:r>
          </w:p>
        </w:tc>
        <w:tc>
          <w:tcPr>
            <w:tcW w:type="dxa" w:w="4736"/>
            <w:tcBorders>
              <w:top w:val="none" w:color="FFFFFF" w:sz="0"/>
              <w:left w:val="none" w:color="FFFFFF" w:sz="0"/>
              <w:bottom w:val="single" w:color="FFFFFF" w:sz="8"/>
              <w:right w:val="none" w:color="FFFFFF" w:sz="0"/>
            </w:tcBorders>
            <w:shd w:fill="FBE8EB" w:color="auto" w:val="clear"/>
            <w:tcMar>
              <w:top w:type="dxa" w:w="55"/>
              <w:left w:type="dxa" w:w="140"/>
              <w:bottom w:type="dxa" w:w="55"/>
              <w:right w:type="dxa" w:w="140"/>
            </w:tcMar>
            <w:vAlign w:val="center"/>
          </w:tcPr>
          <w:p>
            <w:pPr>
              <w:keepNext/>
              <w:keepLines/>
              <w:spacing w:after="0" w:before="0" w:line="248" w:lineRule="auto"/>
            </w:pPr>
            <w:r>
              <w:rPr>
                <w:rFonts w:ascii="Calibri" w:cs="Calibri" w:eastAsia="Calibri" w:hAnsi="Calibri"/>
                <w:color w:val="2B3548"/>
                <w:sz w:val="18"/>
                <w:szCs w:val="18"/>
              </w:rPr>
              <w:t xml:space="preserve">TOTP ist nicht phishingresistent und erreicht AAL3 nicht.</w:t>
            </w:r>
          </w:p>
        </w:tc>
      </w:tr>
      <w:tr>
        <w:trPr>
          <w:cantSplit/>
        </w:trPr>
        <w:tc>
          <w:tcPr>
            <w:tcW w:type="dxa" w:w="620"/>
            <w:tcBorders>
              <w:top w:val="none" w:color="FFFFFF" w:sz="0"/>
              <w:left w:val="none" w:color="FFFFFF" w:sz="0"/>
              <w:bottom w:val="none" w:color="FFFFFF" w:sz="0"/>
              <w:right w:val="none" w:color="FFFFFF" w:sz="0"/>
            </w:tcBorders>
            <w:shd w:fill="1E9E63" w:color="auto" w:val="clear"/>
            <w:tcMar>
              <w:top w:type="dxa" w:w="55"/>
              <w:left w:type="dxa" w:w="40"/>
              <w:bottom w:type="dxa" w:w="55"/>
              <w:right w:type="dxa" w:w="40"/>
            </w:tcMar>
            <w:vAlign w:val="center"/>
          </w:tcPr>
          <w:p>
            <w:pPr>
              <w:keepNext w:val="false"/>
              <w:keepLines/>
              <w:spacing w:after="0" w:before="0" w:line="264" w:lineRule="auto"/>
              <w:jc w:val="center"/>
            </w:pPr>
            <w:r>
              <w:rPr>
                <w:rFonts w:ascii="Calibri" w:cs="Calibri" w:eastAsia="Calibri" w:hAnsi="Calibri"/>
                <w:b/>
                <w:bCs/>
                <w:color w:val="FFFFFF"/>
                <w:sz w:val="28"/>
                <w:szCs w:val="28"/>
              </w:rPr>
              <w:t xml:space="preserve">E</w:t>
            </w:r>
          </w:p>
        </w:tc>
        <w:tc>
          <w:tcPr>
            <w:tcW w:type="dxa" w:w="3100"/>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b/>
                <w:bCs/>
                <w:color w:val="12683F"/>
                <w:sz w:val="19"/>
                <w:szCs w:val="19"/>
              </w:rPr>
              <w:t xml:space="preserve">Synchronisierte Passkeys dürfen nicht für AAL3 genutzt werden, weil der private Schlüssel über die Cloud verteilt und damit exportierbar ist.</w:t>
            </w:r>
          </w:p>
        </w:tc>
        <w:tc>
          <w:tcPr>
            <w:tcW w:type="dxa" w:w="1050"/>
            <w:tcBorders>
              <w:top w:val="none" w:color="FFFFFF" w:sz="0"/>
              <w:left w:val="none" w:color="FFFFFF" w:sz="0"/>
              <w:bottom w:val="none" w:color="FFFFFF" w:sz="0"/>
              <w:right w:val="none" w:color="FFFFFF" w:sz="0"/>
            </w:tcBorders>
            <w:shd w:fill="E3F5EA" w:color="auto" w:val="clear"/>
            <w:tcMar>
              <w:top w:type="dxa" w:w="55"/>
              <w:left w:type="dxa" w:w="60"/>
              <w:bottom w:type="dxa" w:w="55"/>
              <w:right w:type="dxa" w:w="60"/>
            </w:tcMar>
            <w:vAlign w:val="center"/>
          </w:tcPr>
          <w:p>
            <w:pPr>
              <w:keepNext w:val="false"/>
              <w:keepLines/>
              <w:spacing w:after="0" w:before="0" w:line="264" w:lineRule="auto"/>
              <w:jc w:val="center"/>
            </w:pPr>
            <w:r>
              <w:rPr>
                <w:rFonts w:ascii="Calibri" w:cs="Calibri" w:eastAsia="Calibri" w:hAnsi="Calibri"/>
                <w:b/>
                <w:bCs/>
                <w:color w:val="12683F"/>
                <w:spacing w:val="20"/>
                <w:sz w:val="19"/>
                <w:szCs w:val="19"/>
              </w:rPr>
              <w:t xml:space="preserve">richtig</w:t>
            </w:r>
          </w:p>
        </w:tc>
        <w:tc>
          <w:tcPr>
            <w:tcW w:type="dxa" w:w="4736"/>
            <w:tcBorders>
              <w:top w:val="none" w:color="FFFFFF" w:sz="0"/>
              <w:left w:val="none" w:color="FFFFFF" w:sz="0"/>
              <w:bottom w:val="none" w:color="FFFFFF" w:sz="0"/>
              <w:right w:val="none" w:color="FFFFFF" w:sz="0"/>
            </w:tcBorders>
            <w:shd w:fill="E3F5EA" w:color="auto" w:val="clear"/>
            <w:tcMar>
              <w:top w:type="dxa" w:w="55"/>
              <w:left w:type="dxa" w:w="140"/>
              <w:bottom w:type="dxa" w:w="55"/>
              <w:right w:type="dxa" w:w="140"/>
            </w:tcMar>
            <w:vAlign w:val="center"/>
          </w:tcPr>
          <w:p>
            <w:pPr>
              <w:keepNext w:val="false"/>
              <w:keepLines/>
              <w:spacing w:after="0" w:before="0" w:line="248" w:lineRule="auto"/>
            </w:pPr>
            <w:r>
              <w:rPr>
                <w:rFonts w:ascii="Calibri" w:cs="Calibri" w:eastAsia="Calibri" w:hAnsi="Calibri"/>
                <w:color w:val="2B3548"/>
                <w:sz w:val="18"/>
                <w:szCs w:val="18"/>
              </w:rPr>
              <w:t xml:space="preserve">Das NIST erlaubt sie für normale Anwendungen (AAL2), für die höchste Stufe nicht.</w:t>
            </w:r>
          </w:p>
        </w:tc>
      </w:tr>
    </w:tbl>
    <w:p>
      <w:pPr>
        <w:sectPr>
          <w:headerReference w:type="default" r:id="rId9"/>
          <w:footerReference w:type="default" r:id="rId10"/>
          <w:pgSz w:w="11906" w:h="16838" w:orient="portrait"/>
          <w:pgMar w:top="1250" w:right="1200" w:bottom="900" w:left="1200" w:header="550" w:footer="450" w:gutter="0"/>
          <w:pgNumType/>
          <w:docGrid w:linePitch="360"/>
        </w:sectPr>
      </w:pPr>
    </w:p>
    <w:p>
      <w:pPr>
        <w:keepLines/>
        <w:spacing w:after="80" w:before="0" w:line="264" w:lineRule="auto"/>
      </w:pPr>
      <w:r>
        <w:rPr>
          <w:rFonts w:ascii="Calibri" w:cs="Calibri" w:eastAsia="Calibri" w:hAnsi="Calibri"/>
          <w:b/>
          <w:bCs/>
          <w:color w:val="D7263D"/>
          <w:spacing w:val="50"/>
          <w:sz w:val="18"/>
          <w:szCs w:val="18"/>
        </w:rPr>
        <w:t xml:space="preserve">ANHANG</w:t>
      </w:r>
    </w:p>
    <w:p>
      <w:pPr>
        <w:keepLines/>
        <w:spacing w:after="240" w:before="0" w:line="264" w:lineRule="auto"/>
      </w:pPr>
      <w:r>
        <w:rPr>
          <w:rFonts w:ascii="Calibri" w:cs="Calibri" w:eastAsia="Calibri" w:hAnsi="Calibri"/>
          <w:b/>
          <w:bCs/>
          <w:color w:val="0E1A2B"/>
          <w:sz w:val="44"/>
          <w:szCs w:val="44"/>
        </w:rPr>
        <w:t xml:space="preserve">Lösungsübersicht</w:t>
      </w:r>
    </w:p>
    <w:tbl>
      <w:tblPr>
        <w:tblW w:type="dxa" w:w="95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000"/>
        <w:gridCol w:w="3800"/>
        <w:gridCol w:w="2506"/>
      </w:tblGrid>
      <w:tr>
        <w:tc>
          <w:tcPr>
            <w:tcW w:type="dxa" w:w="1200"/>
            <w:tcBorders>
              <w:top w:val="none" w:color="FFFFFF" w:sz="0"/>
              <w:left w:val="none" w:color="FFFFFF" w:sz="0"/>
              <w:bottom w:val="none" w:color="FFFFFF" w:sz="0"/>
              <w:right w:val="none" w:color="FFFFFF" w:sz="0"/>
            </w:tcBorders>
            <w:shd w:fill="0E1A2B" w:color="auto" w:val="clear"/>
            <w:tcMar>
              <w:top w:type="dxa" w:w="110"/>
              <w:left w:type="dxa" w:w="160"/>
              <w:bottom w:type="dxa" w:w="110"/>
              <w:right w:type="dxa" w:w="140"/>
            </w:tcMar>
            <w:vAlign w:val="center"/>
          </w:tcPr>
          <w:p>
            <w:pPr>
              <w:keepLines/>
              <w:spacing w:after="0" w:before="0" w:line="264" w:lineRule="auto"/>
            </w:pPr>
            <w:r>
              <w:rPr>
                <w:rFonts w:ascii="Calibri" w:cs="Calibri" w:eastAsia="Calibri" w:hAnsi="Calibri"/>
                <w:b/>
                <w:bCs/>
                <w:color w:val="FFFFFF"/>
                <w:spacing w:val="50"/>
                <w:sz w:val="17"/>
                <w:szCs w:val="17"/>
              </w:rPr>
              <w:t xml:space="preserve">FRAGE</w:t>
            </w:r>
          </w:p>
        </w:tc>
        <w:tc>
          <w:tcPr>
            <w:tcW w:type="dxa" w:w="2000"/>
            <w:tcBorders>
              <w:top w:val="none" w:color="FFFFFF" w:sz="0"/>
              <w:left w:val="none" w:color="FFFFFF" w:sz="0"/>
              <w:bottom w:val="none" w:color="FFFFFF" w:sz="0"/>
              <w:right w:val="none" w:color="FFFFFF" w:sz="0"/>
            </w:tcBorders>
            <w:shd w:fill="0E1A2B" w:color="auto" w:val="clear"/>
            <w:tcMar>
              <w:top w:type="dxa" w:w="110"/>
              <w:left w:type="dxa" w:w="160"/>
              <w:bottom w:type="dxa" w:w="110"/>
              <w:right w:type="dxa" w:w="140"/>
            </w:tcMar>
            <w:vAlign w:val="center"/>
          </w:tcPr>
          <w:p>
            <w:pPr>
              <w:keepLines/>
              <w:spacing w:after="0" w:before="0" w:line="264" w:lineRule="auto"/>
            </w:pPr>
            <w:r>
              <w:rPr>
                <w:rFonts w:ascii="Calibri" w:cs="Calibri" w:eastAsia="Calibri" w:hAnsi="Calibri"/>
                <w:b/>
                <w:bCs/>
                <w:color w:val="FFFFFF"/>
                <w:spacing w:val="50"/>
                <w:sz w:val="17"/>
                <w:szCs w:val="17"/>
              </w:rPr>
              <w:t xml:space="preserve">STUFE</w:t>
            </w:r>
          </w:p>
        </w:tc>
        <w:tc>
          <w:tcPr>
            <w:tcW w:type="dxa" w:w="3800"/>
            <w:tcBorders>
              <w:top w:val="none" w:color="FFFFFF" w:sz="0"/>
              <w:left w:val="none" w:color="FFFFFF" w:sz="0"/>
              <w:bottom w:val="none" w:color="FFFFFF" w:sz="0"/>
              <w:right w:val="none" w:color="FFFFFF" w:sz="0"/>
            </w:tcBorders>
            <w:shd w:fill="0E1A2B" w:color="auto" w:val="clear"/>
            <w:tcMar>
              <w:top w:type="dxa" w:w="110"/>
              <w:left w:type="dxa" w:w="160"/>
              <w:bottom w:type="dxa" w:w="110"/>
              <w:right w:type="dxa" w:w="140"/>
            </w:tcMar>
            <w:vAlign w:val="center"/>
          </w:tcPr>
          <w:p>
            <w:pPr>
              <w:keepLines/>
              <w:spacing w:after="0" w:before="0" w:line="264" w:lineRule="auto"/>
            </w:pPr>
            <w:r>
              <w:rPr>
                <w:rFonts w:ascii="Calibri" w:cs="Calibri" w:eastAsia="Calibri" w:hAnsi="Calibri"/>
                <w:b/>
                <w:bCs/>
                <w:color w:val="FFFFFF"/>
                <w:spacing w:val="50"/>
                <w:sz w:val="17"/>
                <w:szCs w:val="17"/>
              </w:rPr>
              <w:t xml:space="preserve">RICHTIGE ANTWORTEN</w:t>
            </w:r>
          </w:p>
        </w:tc>
        <w:tc>
          <w:tcPr>
            <w:tcW w:type="dxa" w:w="2506"/>
            <w:tcBorders>
              <w:top w:val="none" w:color="FFFFFF" w:sz="0"/>
              <w:left w:val="none" w:color="FFFFFF" w:sz="0"/>
              <w:bottom w:val="none" w:color="FFFFFF" w:sz="0"/>
              <w:right w:val="none" w:color="FFFFFF" w:sz="0"/>
            </w:tcBorders>
            <w:shd w:fill="0E1A2B" w:color="auto" w:val="clear"/>
            <w:tcMar>
              <w:top w:type="dxa" w:w="110"/>
              <w:left w:type="dxa" w:w="160"/>
              <w:bottom w:type="dxa" w:w="110"/>
              <w:right w:type="dxa" w:w="140"/>
            </w:tcMar>
            <w:vAlign w:val="center"/>
          </w:tcPr>
          <w:p>
            <w:pPr>
              <w:keepLines/>
              <w:spacing w:after="0" w:before="0" w:line="264" w:lineRule="auto"/>
            </w:pPr>
            <w:r>
              <w:rPr>
                <w:rFonts w:ascii="Calibri" w:cs="Calibri" w:eastAsia="Calibri" w:hAnsi="Calibri"/>
                <w:b/>
                <w:bCs/>
                <w:color w:val="FFFFFF"/>
                <w:spacing w:val="50"/>
                <w:sz w:val="17"/>
                <w:szCs w:val="17"/>
              </w:rPr>
              <w:t xml:space="preserve">FOLIE</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01</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2FC08A"/>
                <w:sz w:val="20"/>
                <w:szCs w:val="20"/>
              </w:rPr>
              <w:t xml:space="preserve">● </w:t>
            </w:r>
            <w:r>
              <w:rPr>
                <w:rFonts w:ascii="Calibri" w:cs="Calibri" w:eastAsia="Calibri" w:hAnsi="Calibri"/>
                <w:color w:val="1B2433"/>
                <w:sz w:val="20"/>
                <w:szCs w:val="20"/>
              </w:rPr>
              <w:t xml:space="preserve">leicht</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B</w:t>
            </w:r>
            <w:r>
              <w:rPr>
                <w:rFonts w:ascii="Calibri" w:cs="Calibri" w:eastAsia="Calibri" w:hAnsi="Calibri"/>
                <w:b/>
                <w:bCs/>
                <w:color w:val="12683F"/>
                <w:sz w:val="24"/>
                <w:szCs w:val="24"/>
              </w:rPr>
              <w:t xml:space="preserve">   C</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5</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02</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2FC08A"/>
                <w:sz w:val="20"/>
                <w:szCs w:val="20"/>
              </w:rPr>
              <w:t xml:space="preserve">● </w:t>
            </w:r>
            <w:r>
              <w:rPr>
                <w:rFonts w:ascii="Calibri" w:cs="Calibri" w:eastAsia="Calibri" w:hAnsi="Calibri"/>
                <w:color w:val="1B2433"/>
                <w:sz w:val="20"/>
                <w:szCs w:val="20"/>
              </w:rPr>
              <w:t xml:space="preserve">leicht</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D</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4</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03</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2FC08A"/>
                <w:sz w:val="20"/>
                <w:szCs w:val="20"/>
              </w:rPr>
              <w:t xml:space="preserve">● </w:t>
            </w:r>
            <w:r>
              <w:rPr>
                <w:rFonts w:ascii="Calibri" w:cs="Calibri" w:eastAsia="Calibri" w:hAnsi="Calibri"/>
                <w:color w:val="1B2433"/>
                <w:sz w:val="20"/>
                <w:szCs w:val="20"/>
              </w:rPr>
              <w:t xml:space="preserve">leicht</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D</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5</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04</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2FC08A"/>
                <w:sz w:val="20"/>
                <w:szCs w:val="20"/>
              </w:rPr>
              <w:t xml:space="preserve">● </w:t>
            </w:r>
            <w:r>
              <w:rPr>
                <w:rFonts w:ascii="Calibri" w:cs="Calibri" w:eastAsia="Calibri" w:hAnsi="Calibri"/>
                <w:color w:val="1B2433"/>
                <w:sz w:val="20"/>
                <w:szCs w:val="20"/>
              </w:rPr>
              <w:t xml:space="preserve">leicht</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C</w:t>
            </w:r>
            <w:r>
              <w:rPr>
                <w:rFonts w:ascii="Calibri" w:cs="Calibri" w:eastAsia="Calibri" w:hAnsi="Calibri"/>
                <w:b/>
                <w:bCs/>
                <w:color w:val="12683F"/>
                <w:sz w:val="24"/>
                <w:szCs w:val="24"/>
              </w:rPr>
              <w:t xml:space="preserve">   D</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12</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05</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B</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5</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06</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C</w:t>
            </w:r>
            <w:r>
              <w:rPr>
                <w:rFonts w:ascii="Calibri" w:cs="Calibri" w:eastAsia="Calibri" w:hAnsi="Calibri"/>
                <w:b/>
                <w:bCs/>
                <w:color w:val="12683F"/>
                <w:sz w:val="24"/>
                <w:szCs w:val="24"/>
              </w:rPr>
              <w:t xml:space="preserve">   D</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14</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07</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C</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13</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08</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A</w:t>
            </w:r>
            <w:r>
              <w:rPr>
                <w:rFonts w:ascii="Calibri" w:cs="Calibri" w:eastAsia="Calibri" w:hAnsi="Calibri"/>
                <w:b/>
                <w:bCs/>
                <w:color w:val="12683F"/>
                <w:sz w:val="24"/>
                <w:szCs w:val="24"/>
              </w:rPr>
              <w:t xml:space="preserve">   B</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18</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09</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B</w:t>
            </w:r>
            <w:r>
              <w:rPr>
                <w:rFonts w:ascii="Calibri" w:cs="Calibri" w:eastAsia="Calibri" w:hAnsi="Calibri"/>
                <w:b/>
                <w:bCs/>
                <w:color w:val="12683F"/>
                <w:sz w:val="24"/>
                <w:szCs w:val="24"/>
              </w:rPr>
              <w:t xml:space="preserve">   C</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19</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10</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0A92E"/>
                <w:sz w:val="20"/>
                <w:szCs w:val="20"/>
              </w:rPr>
              <w:t xml:space="preserve">● </w:t>
            </w:r>
            <w:r>
              <w:rPr>
                <w:rFonts w:ascii="Calibri" w:cs="Calibri" w:eastAsia="Calibri" w:hAnsi="Calibri"/>
                <w:color w:val="1B2433"/>
                <w:sz w:val="20"/>
                <w:szCs w:val="20"/>
              </w:rPr>
              <w:t xml:space="preserve">mittel</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C</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15</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11</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F6B7F"/>
                <w:sz w:val="20"/>
                <w:szCs w:val="20"/>
              </w:rPr>
              <w:t xml:space="preserve">● </w:t>
            </w:r>
            <w:r>
              <w:rPr>
                <w:rFonts w:ascii="Calibri" w:cs="Calibri" w:eastAsia="Calibri" w:hAnsi="Calibri"/>
                <w:color w:val="1B2433"/>
                <w:sz w:val="20"/>
                <w:szCs w:val="20"/>
              </w:rPr>
              <w:t xml:space="preserve">schwer</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B</w:t>
            </w:r>
            <w:r>
              <w:rPr>
                <w:rFonts w:ascii="Calibri" w:cs="Calibri" w:eastAsia="Calibri" w:hAnsi="Calibri"/>
                <w:b/>
                <w:bCs/>
                <w:color w:val="12683F"/>
                <w:sz w:val="24"/>
                <w:szCs w:val="24"/>
              </w:rPr>
              <w:t xml:space="preserve">   C</w:t>
            </w:r>
            <w:r>
              <w:rPr>
                <w:rFonts w:ascii="Calibri" w:cs="Calibri" w:eastAsia="Calibri" w:hAnsi="Calibri"/>
                <w:b/>
                <w:bCs/>
                <w:color w:val="12683F"/>
                <w:sz w:val="24"/>
                <w:szCs w:val="24"/>
              </w:rPr>
              <w:t xml:space="preserve">   D</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20</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12</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F6B7F"/>
                <w:sz w:val="20"/>
                <w:szCs w:val="20"/>
              </w:rPr>
              <w:t xml:space="preserve">● </w:t>
            </w:r>
            <w:r>
              <w:rPr>
                <w:rFonts w:ascii="Calibri" w:cs="Calibri" w:eastAsia="Calibri" w:hAnsi="Calibri"/>
                <w:color w:val="1B2433"/>
                <w:sz w:val="20"/>
                <w:szCs w:val="20"/>
              </w:rPr>
              <w:t xml:space="preserve">schwer</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D</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19</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13</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F6B7F"/>
                <w:sz w:val="20"/>
                <w:szCs w:val="20"/>
              </w:rPr>
              <w:t xml:space="preserve">● </w:t>
            </w:r>
            <w:r>
              <w:rPr>
                <w:rFonts w:ascii="Calibri" w:cs="Calibri" w:eastAsia="Calibri" w:hAnsi="Calibri"/>
                <w:color w:val="1B2433"/>
                <w:sz w:val="20"/>
                <w:szCs w:val="20"/>
              </w:rPr>
              <w:t xml:space="preserve">schwer</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A</w:t>
            </w:r>
            <w:r>
              <w:rPr>
                <w:rFonts w:ascii="Calibri" w:cs="Calibri" w:eastAsia="Calibri" w:hAnsi="Calibri"/>
                <w:b/>
                <w:bCs/>
                <w:color w:val="12683F"/>
                <w:sz w:val="24"/>
                <w:szCs w:val="24"/>
              </w:rPr>
              <w:t xml:space="preserve">   B</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21</w:t>
            </w:r>
          </w:p>
        </w:tc>
      </w:tr>
      <w:tr>
        <w:trPr>
          <w:cantSplit/>
        </w:trPr>
        <w:tc>
          <w:tcPr>
            <w:tcW w:type="dxa" w:w="12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14</w:t>
            </w:r>
          </w:p>
        </w:tc>
        <w:tc>
          <w:tcPr>
            <w:tcW w:type="dxa" w:w="20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F6B7F"/>
                <w:sz w:val="20"/>
                <w:szCs w:val="20"/>
              </w:rPr>
              <w:t xml:space="preserve">● </w:t>
            </w:r>
            <w:r>
              <w:rPr>
                <w:rFonts w:ascii="Calibri" w:cs="Calibri" w:eastAsia="Calibri" w:hAnsi="Calibri"/>
                <w:color w:val="1B2433"/>
                <w:sz w:val="20"/>
                <w:szCs w:val="20"/>
              </w:rPr>
              <w:t xml:space="preserve">schwer</w:t>
            </w:r>
          </w:p>
        </w:tc>
        <w:tc>
          <w:tcPr>
            <w:tcW w:type="dxa" w:w="3800"/>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A</w:t>
            </w:r>
          </w:p>
        </w:tc>
        <w:tc>
          <w:tcPr>
            <w:tcW w:type="dxa" w:w="2506"/>
            <w:tcBorders>
              <w:top w:val="none" w:color="FFFFFF" w:sz="0"/>
              <w:left w:val="none" w:color="FFFFFF" w:sz="0"/>
              <w:bottom w:val="none" w:color="FFFFFF" w:sz="0"/>
              <w:right w:val="none" w:color="FFFFFF" w:sz="0"/>
            </w:tcBorders>
            <w:shd w:fill="FFFFFF"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21</w:t>
            </w:r>
          </w:p>
        </w:tc>
      </w:tr>
      <w:tr>
        <w:trPr>
          <w:cantSplit/>
        </w:trPr>
        <w:tc>
          <w:tcPr>
            <w:tcW w:type="dxa" w:w="12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0E1A2B"/>
                <w:sz w:val="24"/>
                <w:szCs w:val="24"/>
              </w:rPr>
              <w:t xml:space="preserve">15</w:t>
            </w:r>
          </w:p>
        </w:tc>
        <w:tc>
          <w:tcPr>
            <w:tcW w:type="dxa" w:w="20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FF6B7F"/>
                <w:sz w:val="20"/>
                <w:szCs w:val="20"/>
              </w:rPr>
              <w:t xml:space="preserve">● </w:t>
            </w:r>
            <w:r>
              <w:rPr>
                <w:rFonts w:ascii="Calibri" w:cs="Calibri" w:eastAsia="Calibri" w:hAnsi="Calibri"/>
                <w:color w:val="1B2433"/>
                <w:sz w:val="20"/>
                <w:szCs w:val="20"/>
              </w:rPr>
              <w:t xml:space="preserve">schwer</w:t>
            </w:r>
          </w:p>
        </w:tc>
        <w:tc>
          <w:tcPr>
            <w:tcW w:type="dxa" w:w="3800"/>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b/>
                <w:bCs/>
                <w:color w:val="12683F"/>
                <w:sz w:val="24"/>
                <w:szCs w:val="24"/>
              </w:rPr>
              <w:t xml:space="preserve">C</w:t>
            </w:r>
            <w:r>
              <w:rPr>
                <w:rFonts w:ascii="Calibri" w:cs="Calibri" w:eastAsia="Calibri" w:hAnsi="Calibri"/>
                <w:b/>
                <w:bCs/>
                <w:color w:val="12683F"/>
                <w:sz w:val="24"/>
                <w:szCs w:val="24"/>
              </w:rPr>
              <w:t xml:space="preserve">   E</w:t>
            </w:r>
          </w:p>
        </w:tc>
        <w:tc>
          <w:tcPr>
            <w:tcW w:type="dxa" w:w="2506"/>
            <w:tcBorders>
              <w:top w:val="none" w:color="FFFFFF" w:sz="0"/>
              <w:left w:val="none" w:color="FFFFFF" w:sz="0"/>
              <w:bottom w:val="none" w:color="FFFFFF" w:sz="0"/>
              <w:right w:val="none" w:color="FFFFFF" w:sz="0"/>
            </w:tcBorders>
            <w:shd w:fill="F3F5F9" w:color="auto" w:val="clear"/>
            <w:tcMar>
              <w:top w:type="dxa" w:w="80"/>
              <w:left w:type="dxa" w:w="160"/>
              <w:bottom w:type="dxa" w:w="80"/>
              <w:right w:type="dxa" w:w="140"/>
            </w:tcMar>
            <w:vAlign w:val="center"/>
          </w:tcPr>
          <w:p>
            <w:pPr>
              <w:keepLines/>
              <w:spacing w:after="0" w:before="0" w:line="264" w:lineRule="auto"/>
            </w:pPr>
            <w:r>
              <w:rPr>
                <w:rFonts w:ascii="Calibri" w:cs="Calibri" w:eastAsia="Calibri" w:hAnsi="Calibri"/>
                <w:color w:val="5E6A7D"/>
                <w:sz w:val="20"/>
                <w:szCs w:val="20"/>
              </w:rPr>
              <w:t xml:space="preserve">23</w:t>
            </w:r>
          </w:p>
        </w:tc>
      </w:tr>
    </w:tbl>
    <w:p>
      <w:pPr>
        <w:keepLines/>
        <w:spacing w:after="0" w:before="160" w:line="264" w:lineRule="auto"/>
      </w:pPr>
      <w:r>
        <w:rPr>
          <w:rFonts w:ascii="Calibri" w:cs="Calibri" w:eastAsia="Calibri" w:hAnsi="Calibri"/>
          <w:i/>
          <w:iCs/>
          <w:color w:val="5E6A7D"/>
          <w:sz w:val="18"/>
          <w:szCs w:val="18"/>
        </w:rPr>
        <w:t xml:space="preserve">Die Folienangaben beziehen sich auf die Präsentation „Authentifizierung Schwerpunkt Besitz“ (35 Folien).</w:t>
      </w:r>
    </w:p>
    <w:sectPr>
      <w:headerReference w:type="default" r:id="rId11"/>
      <w:footerReference w:type="default" r:id="rId12"/>
      <w:pgSz w:w="11906" w:h="16838" w:orient="portrait"/>
      <w:pgMar w:top="1250" w:right="1200" w:bottom="900" w:left="1200" w:header="5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tabs>
        <w:tab w:val="right" w:pos="9506"/>
      </w:tabs>
      <w:spacing w:after="0" w:before="0" w:line="264" w:lineRule="auto"/>
    </w:pPr>
    <w:r>
      <w:rPr>
        <w:rFonts w:ascii="Calibri" w:cs="Calibri" w:eastAsia="Calibri" w:hAnsi="Calibri"/>
        <w:color w:val="5E6A7D"/>
        <w:sz w:val="16"/>
        <w:szCs w:val="16"/>
      </w:rPr>
      <w:t xml:space="preserve">Christopher Lane Charles Dentmon  ·  Simon Georg Borgmann	</w:t>
    </w:r>
    <w:r>
      <w:rPr>
        <w:rFonts w:ascii="Calibri" w:cs="Calibri" w:eastAsia="Calibri" w:hAnsi="Calibri"/>
        <w:b/>
        <w:bCs/>
        <w:color w:val="0E1A2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tabs>
        <w:tab w:val="right" w:pos="9506"/>
      </w:tabs>
      <w:spacing w:after="0" w:before="0" w:line="264" w:lineRule="auto"/>
    </w:pPr>
    <w:r>
      <w:rPr>
        <w:rFonts w:ascii="Calibri" w:cs="Calibri" w:eastAsia="Calibri" w:hAnsi="Calibri"/>
        <w:color w:val="5E6A7D"/>
        <w:sz w:val="16"/>
        <w:szCs w:val="16"/>
      </w:rPr>
      <w:t xml:space="preserve">Christopher Lane Charles Dentmon  ·  Simon Georg Borgmann	</w:t>
    </w:r>
    <w:r>
      <w:rPr>
        <w:rFonts w:ascii="Calibri" w:cs="Calibri" w:eastAsia="Calibri" w:hAnsi="Calibri"/>
        <w:b/>
        <w:bCs/>
        <w:color w:val="0E1A2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Lines/>
      <w:tabs>
        <w:tab w:val="right" w:pos="9506"/>
      </w:tabs>
      <w:spacing w:after="0" w:before="0" w:line="264" w:lineRule="auto"/>
    </w:pPr>
    <w:r>
      <w:rPr>
        <w:rFonts w:ascii="Calibri" w:cs="Calibri" w:eastAsia="Calibri" w:hAnsi="Calibri"/>
        <w:color w:val="5E6A7D"/>
        <w:sz w:val="16"/>
        <w:szCs w:val="16"/>
      </w:rPr>
      <w:t xml:space="preserve">Christopher Lane Charles Dentmon  ·  Simon Georg Borgmann	</w:t>
    </w:r>
    <w:r>
      <w:rPr>
        <w:rFonts w:ascii="Calibri" w:cs="Calibri" w:eastAsia="Calibri" w:hAnsi="Calibri"/>
        <w:b/>
        <w:bCs/>
        <w:color w:val="0E1A2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pBdr>
        <w:bottom w:val="single" w:color="D5DBE5" w:sz="6" w:space="6"/>
      </w:pBdr>
      <w:tabs>
        <w:tab w:val="right" w:pos="9506"/>
      </w:tabs>
      <w:spacing w:after="0" w:before="0" w:line="264" w:lineRule="auto"/>
    </w:pPr>
    <w:r>
      <w:rPr>
        <w:rFonts w:ascii="Calibri" w:cs="Calibri" w:eastAsia="Calibri" w:hAnsi="Calibri"/>
        <w:b/>
        <w:bCs/>
        <w:color w:val="D7263D"/>
        <w:spacing w:val="50"/>
        <w:sz w:val="15"/>
        <w:szCs w:val="15"/>
      </w:rPr>
      <w:t xml:space="preserve">REFERAT AUTHENTIFIZIERUNG · SCHWERPUNKT BESITZ</w:t>
    </w:r>
    <w:r>
      <w:rPr>
        <w:rFonts w:ascii="Calibri" w:cs="Calibri" w:eastAsia="Calibri" w:hAnsi="Calibri"/>
        <w:color w:val="5E6A7D"/>
        <w:spacing w:val="50"/>
        <w:sz w:val="15"/>
        <w:szCs w:val="15"/>
      </w:rPr>
      <w:t xml:space="preserve">	FRAGEN UND ANTWORTEN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pBdr>
        <w:bottom w:val="single" w:color="D5DBE5" w:sz="6" w:space="6"/>
      </w:pBdr>
      <w:tabs>
        <w:tab w:val="right" w:pos="9506"/>
      </w:tabs>
      <w:spacing w:after="0" w:before="0" w:line="264" w:lineRule="auto"/>
    </w:pPr>
    <w:r>
      <w:rPr>
        <w:rFonts w:ascii="Calibri" w:cs="Calibri" w:eastAsia="Calibri" w:hAnsi="Calibri"/>
        <w:b/>
        <w:bCs/>
        <w:color w:val="D7263D"/>
        <w:spacing w:val="50"/>
        <w:sz w:val="15"/>
        <w:szCs w:val="15"/>
      </w:rPr>
      <w:t xml:space="preserve">REFERAT AUTHENTIFIZIERUNG · SCHWERPUNKT BESITZ</w:t>
    </w:r>
    <w:r>
      <w:rPr>
        <w:rFonts w:ascii="Calibri" w:cs="Calibri" w:eastAsia="Calibri" w:hAnsi="Calibri"/>
        <w:color w:val="5E6A7D"/>
        <w:spacing w:val="50"/>
        <w:sz w:val="15"/>
        <w:szCs w:val="15"/>
      </w:rPr>
      <w:t xml:space="preserve">	FRAGEN UND ANTWORTEN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Lines/>
      <w:pBdr>
        <w:bottom w:val="single" w:color="D5DBE5" w:sz="6" w:space="6"/>
      </w:pBdr>
      <w:tabs>
        <w:tab w:val="right" w:pos="9506"/>
      </w:tabs>
      <w:spacing w:after="0" w:before="0" w:line="264" w:lineRule="auto"/>
    </w:pPr>
    <w:r>
      <w:rPr>
        <w:rFonts w:ascii="Calibri" w:cs="Calibri" w:eastAsia="Calibri" w:hAnsi="Calibri"/>
        <w:b/>
        <w:bCs/>
        <w:color w:val="D7263D"/>
        <w:spacing w:val="50"/>
        <w:sz w:val="15"/>
        <w:szCs w:val="15"/>
      </w:rPr>
      <w:t xml:space="preserve">REFERAT AUTHENTIFIZIERUNG · SCHWERPUNKT BESITZ</w:t>
    </w:r>
    <w:r>
      <w:rPr>
        <w:rFonts w:ascii="Calibri" w:cs="Calibri" w:eastAsia="Calibri" w:hAnsi="Calibri"/>
        <w:color w:val="5E6A7D"/>
        <w:spacing w:val="50"/>
        <w:sz w:val="15"/>
        <w:szCs w:val="15"/>
      </w:rPr>
      <w:t xml:space="preserve">	FRAGEN UND ANTWORTEN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dc878a53ba366f3c9116cb64aead11c4b3db136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 und Antworten Authentifizierung Schwerpunkt Besitz</dc:title>
  <dc:creator>Christopher Lane Charles Dentmon, Simon Georg Borgmann</dc:creator>
  <cp:lastModifiedBy>Un-named</cp:lastModifiedBy>
  <cp:revision>1</cp:revision>
  <dcterms:created xsi:type="dcterms:W3CDTF">2026-10-07T16:56:26.335Z</dcterms:created>
  <dcterms:modified xsi:type="dcterms:W3CDTF">2026-10-07T16:56:26.336Z</dcterms:modified>
</cp:coreProperties>
</file>

<file path=docProps/custom.xml><?xml version="1.0" encoding="utf-8"?>
<Properties xmlns="http://schemas.openxmlformats.org/officeDocument/2006/custom-properties" xmlns:vt="http://schemas.openxmlformats.org/officeDocument/2006/docPropsVTypes"/>
</file>