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28798773" w14:textId="775C63E8" w:rsidR="000566C8" w:rsidRPr="00041346" w:rsidRDefault="000566C8" w:rsidP="000566C8">
      <w:pPr>
        <w:rPr>
          <w:b/>
          <w:bCs/>
          <w:sz w:val="28"/>
          <w:szCs w:val="28"/>
          <w:u w:val="single"/>
        </w:rPr>
      </w:pPr>
      <w:r w:rsidRPr="00041346">
        <w:rPr>
          <w:b/>
          <w:bCs/>
          <w:sz w:val="28"/>
          <w:szCs w:val="28"/>
          <w:u w:val="single"/>
        </w:rPr>
        <w:t>1. Grundlagen</w:t>
      </w:r>
    </w:p>
    <w:p w14:paraId="58C59D50" w14:textId="4D14AC20" w:rsidR="000566C8" w:rsidRPr="00041346" w:rsidRDefault="000566C8" w:rsidP="000566C8">
      <w:r w:rsidRPr="00041346">
        <w:rPr>
          <w:b/>
          <w:bCs/>
          <w:u w:val="single"/>
        </w:rPr>
        <w:t>Bohrsches Atommodel:</w:t>
      </w:r>
      <w:r w:rsidRPr="00041346">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Pr="00041346" w:rsidRDefault="00606529" w:rsidP="000566C8"/>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Pr="00041346" w:rsidRDefault="00033D43"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41346" w:rsidRDefault="0082290B" w:rsidP="00033D43">
      <w:pPr>
        <w:pStyle w:val="Listenabsatz"/>
        <w:numPr>
          <w:ilvl w:val="0"/>
          <w:numId w:val="3"/>
        </w:numPr>
        <w:rPr>
          <w:rFonts w:eastAsiaTheme="minorEastAsia"/>
        </w:rPr>
      </w:pPr>
      <w:r w:rsidRPr="00041346">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2601ED53"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p>
    <w:p w14:paraId="4548316A" w14:textId="77777777" w:rsidR="006515AB" w:rsidRPr="00041346" w:rsidRDefault="006515AB" w:rsidP="006515AB">
      <w:pPr>
        <w:rPr>
          <w:rFonts w:eastAsiaTheme="minorEastAsia"/>
        </w:rPr>
      </w:pPr>
    </w:p>
    <w:p w14:paraId="7737450E" w14:textId="05DBC762" w:rsidR="006515AB" w:rsidRPr="00041346" w:rsidRDefault="006515AB" w:rsidP="006515AB">
      <w:pPr>
        <w:rPr>
          <w:rFonts w:eastAsiaTheme="minorEastAsia"/>
          <w:b/>
          <w:bCs/>
          <w:u w:val="single"/>
        </w:rPr>
      </w:pPr>
      <w:r w:rsidRPr="00041346">
        <w:rPr>
          <w:rFonts w:eastAsiaTheme="minorEastAsia"/>
          <w:b/>
          <w:bCs/>
          <w:u w:val="single"/>
        </w:rPr>
        <w:t>Zusammenhang U, I, R, P:</w:t>
      </w:r>
    </w:p>
    <w:p w14:paraId="5AC454B4" w14:textId="567B41FA" w:rsidR="006515AB" w:rsidRPr="00041346" w:rsidRDefault="006515AB" w:rsidP="006515AB">
      <w:pPr>
        <w:jc w:val="center"/>
        <w:rPr>
          <w:rFonts w:eastAsiaTheme="minorEastAsia"/>
          <w:b/>
          <w:bCs/>
          <w:u w:val="single"/>
        </w:rPr>
      </w:pPr>
      <w:r w:rsidRPr="00041346">
        <w:rPr>
          <w:rFonts w:eastAsiaTheme="minorEastAsia"/>
          <w:b/>
          <w:bCs/>
          <w:noProof/>
          <w:u w:val="single"/>
        </w:rPr>
        <w:drawing>
          <wp:inline distT="0" distB="0" distL="0" distR="0" wp14:anchorId="519EE99D" wp14:editId="6BBAA807">
            <wp:extent cx="2167890" cy="2140649"/>
            <wp:effectExtent l="0" t="0" r="3810" b="0"/>
            <wp:docPr id="595426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
                    <pic:cNvPicPr/>
                  </pic:nvPicPr>
                  <pic:blipFill>
                    <a:blip r:embed="rId5"/>
                    <a:stretch>
                      <a:fillRect/>
                    </a:stretch>
                  </pic:blipFill>
                  <pic:spPr>
                    <a:xfrm>
                      <a:off x="0" y="0"/>
                      <a:ext cx="2342318" cy="2312885"/>
                    </a:xfrm>
                    <a:prstGeom prst="rect">
                      <a:avLst/>
                    </a:prstGeom>
                  </pic:spPr>
                </pic:pic>
              </a:graphicData>
            </a:graphic>
          </wp:inline>
        </w:drawing>
      </w:r>
    </w:p>
    <w:p w14:paraId="3C6605F7" w14:textId="7D1BDEBE" w:rsidR="006515AB" w:rsidRPr="00041346" w:rsidRDefault="006515AB" w:rsidP="006515AB">
      <w:pPr>
        <w:rPr>
          <w:rFonts w:eastAsiaTheme="minorEastAsia"/>
        </w:rPr>
      </w:pPr>
      <w:r w:rsidRPr="00041346">
        <w:rPr>
          <w:rFonts w:eastAsiaTheme="minorEastAsia"/>
          <w:b/>
          <w:bCs/>
          <w:u w:val="single"/>
        </w:rPr>
        <w:lastRenderedPageBreak/>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053759E1" w14:textId="0F50AC01" w:rsidR="00C85D5E" w:rsidRDefault="00C85D5E" w:rsidP="006515AB">
      <w:pPr>
        <w:rPr>
          <w:rFonts w:eastAsiaTheme="minorEastAsia"/>
        </w:rPr>
      </w:pPr>
      <w:r>
        <w:rPr>
          <w:rFonts w:eastAsiaTheme="minorEastAsia"/>
          <w:b/>
          <w:bCs/>
          <w:u w:val="single"/>
        </w:rPr>
        <w:t>Magnetische Felder:</w:t>
      </w:r>
      <w:r w:rsidR="00CC09FA">
        <w:rPr>
          <w:rFonts w:eastAsiaTheme="minorEastAsia"/>
        </w:rPr>
        <w:t xml:space="preserve"> Wie ein elektrischen Feld gibt es auch ein magnetisches Feld in der Physik. Diese ist gekennzeichnet durch einen Nord- und einen Südpol, welche nicht trennbar sind. Ein solches magnetisches Feld kann durch Stromfluss erzeugt werden.</w:t>
      </w:r>
    </w:p>
    <w:p w14:paraId="440FC05C" w14:textId="77777777" w:rsidR="00CC09FA" w:rsidRDefault="00CC09FA" w:rsidP="006515AB">
      <w:pPr>
        <w:rPr>
          <w:rFonts w:eastAsiaTheme="minorEastAsia"/>
        </w:rPr>
      </w:pPr>
    </w:p>
    <w:p w14:paraId="2FAAE7BD" w14:textId="77777777" w:rsidR="003B320F" w:rsidRDefault="00CC09FA" w:rsidP="006515AB">
      <w:pPr>
        <w:rPr>
          <w:rFonts w:eastAsiaTheme="minorEastAsia"/>
        </w:rPr>
      </w:pPr>
      <w:r>
        <w:rPr>
          <w:rFonts w:eastAsiaTheme="minorEastAsia"/>
          <w:b/>
          <w:bCs/>
          <w:u w:val="single"/>
        </w:rPr>
        <w:t>Rechte-Hand-Regel:</w:t>
      </w:r>
      <w:r>
        <w:rPr>
          <w:rFonts w:eastAsiaTheme="minorEastAsia"/>
        </w:rPr>
        <w:t xml:space="preserve"> </w:t>
      </w:r>
      <w:r w:rsidR="003B320F">
        <w:rPr>
          <w:rFonts w:eastAsiaTheme="minorEastAsia"/>
        </w:rPr>
        <w:t>Mithilfe der Rechte-Hand-Regel lässt sich die Richtung des Stromes oder die Richtung des Magnetfeldes bestimmen, sobald man eines der beiden kennt:</w:t>
      </w:r>
    </w:p>
    <w:p w14:paraId="37A9A34F" w14:textId="58F0F9C5" w:rsidR="00CC09FA" w:rsidRDefault="003B320F" w:rsidP="006515AB">
      <w:pPr>
        <w:rPr>
          <w:noProof/>
        </w:rPr>
      </w:pPr>
      <w:r w:rsidRPr="003B320F">
        <w:rPr>
          <w:noProof/>
        </w:rPr>
        <w:t xml:space="preserve"> </w:t>
      </w:r>
      <w:r w:rsidRPr="003B320F">
        <w:rPr>
          <w:rFonts w:eastAsiaTheme="minorEastAsia"/>
        </w:rPr>
        <w:drawing>
          <wp:inline distT="0" distB="0" distL="0" distR="0" wp14:anchorId="45652EEB" wp14:editId="0B9884F6">
            <wp:extent cx="1031052" cy="1098362"/>
            <wp:effectExtent l="0" t="0" r="0" b="6985"/>
            <wp:docPr id="9977991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99104" name=""/>
                    <pic:cNvPicPr/>
                  </pic:nvPicPr>
                  <pic:blipFill>
                    <a:blip r:embed="rId6"/>
                    <a:stretch>
                      <a:fillRect/>
                    </a:stretch>
                  </pic:blipFill>
                  <pic:spPr>
                    <a:xfrm>
                      <a:off x="0" y="0"/>
                      <a:ext cx="1057318" cy="1126343"/>
                    </a:xfrm>
                    <a:prstGeom prst="rect">
                      <a:avLst/>
                    </a:prstGeom>
                  </pic:spPr>
                </pic:pic>
              </a:graphicData>
            </a:graphic>
          </wp:inline>
        </w:drawing>
      </w:r>
    </w:p>
    <w:p w14:paraId="0654D253" w14:textId="77777777" w:rsidR="003B320F" w:rsidRDefault="003B320F" w:rsidP="006515AB">
      <w:pPr>
        <w:rPr>
          <w:noProof/>
        </w:rPr>
      </w:pPr>
    </w:p>
    <w:p w14:paraId="755A9CCD" w14:textId="33FD6D6B" w:rsidR="003B320F" w:rsidRDefault="003B320F" w:rsidP="006515AB">
      <w:pPr>
        <w:rPr>
          <w:noProof/>
        </w:rPr>
      </w:pPr>
      <w:r>
        <w:rPr>
          <w:b/>
          <w:bCs/>
          <w:noProof/>
          <w:u w:val="single"/>
        </w:rPr>
        <w:t>Integral von Biot-Savart:</w:t>
      </w:r>
      <w:r>
        <w:rPr>
          <w:noProof/>
        </w:rPr>
        <w:t xml:space="preserve"> Mithilfe des Integrals von Biot-Savart lässt sich die Magnetfeldstärke an einem beliebigen Punkt im Raum mithilfe des Stromes in der Leiterschleife berechnen. Die Formel an sich ist nicht klausurrelevant.</w:t>
      </w:r>
    </w:p>
    <w:p w14:paraId="7AD13BDE" w14:textId="77777777" w:rsidR="003B320F" w:rsidRDefault="003B320F" w:rsidP="006515AB">
      <w:pPr>
        <w:rPr>
          <w:noProof/>
        </w:rPr>
      </w:pPr>
    </w:p>
    <w:p w14:paraId="3984FA0F" w14:textId="77777777" w:rsidR="0060042E" w:rsidRDefault="003B320F" w:rsidP="006515AB">
      <w:pPr>
        <w:rPr>
          <w:noProof/>
        </w:rPr>
      </w:pPr>
      <w:r>
        <w:rPr>
          <w:b/>
          <w:bCs/>
          <w:noProof/>
          <w:u w:val="single"/>
        </w:rPr>
        <w:t>Verkettung von Magnetfeld und Strom:</w:t>
      </w:r>
      <w:r>
        <w:rPr>
          <w:b/>
          <w:bCs/>
          <w:noProof/>
        </w:rPr>
        <w:t xml:space="preserve"> </w:t>
      </w:r>
      <w:r>
        <w:rPr>
          <w:noProof/>
        </w:rPr>
        <w:t>In einem Stromkreis bewegt sich Strom immer in geschlossenen Wegen und auch Magnetfeldlinien sind immer geschlossen. Also sind Stromlinien und Magnetfeldlinien verkettet. Daraus folgt die Überlegung, dass magnetischer Fluß durch die Fläche einer Stromlinie und Strom durch Fläche einer Magnetfeldlinie dargestellt werden kann. Ampere’sches Durchflutungsgesetz:</w:t>
      </w:r>
    </w:p>
    <w:p w14:paraId="4207C541" w14:textId="067E4781" w:rsidR="003B320F" w:rsidRDefault="003B320F" w:rsidP="006515AB">
      <w:pPr>
        <w:rPr>
          <w:rFonts w:eastAsiaTheme="minorEastAsia"/>
          <w:noProof/>
        </w:rPr>
      </w:pPr>
      <w:r>
        <w:rPr>
          <w:noProof/>
        </w:rPr>
        <w:t xml:space="preserve"> </w:t>
      </w:r>
      <m:oMath>
        <m:nary>
          <m:naryPr>
            <m:chr m:val="∮"/>
            <m:limLoc m:val="subSup"/>
            <m:ctrlPr>
              <w:rPr>
                <w:rFonts w:ascii="Cambria Math" w:hAnsi="Cambria Math"/>
                <w:i/>
                <w:noProof/>
              </w:rPr>
            </m:ctrlPr>
          </m:naryPr>
          <m:sub>
            <m:r>
              <w:rPr>
                <w:rFonts w:ascii="Cambria Math" w:hAnsi="Cambria Math"/>
                <w:noProof/>
              </w:rPr>
              <m:t>s</m:t>
            </m:r>
          </m:sub>
          <m:sup/>
          <m:e>
            <m:acc>
              <m:accPr>
                <m:chr m:val="⃗"/>
                <m:ctrlPr>
                  <w:rPr>
                    <w:rFonts w:ascii="Cambria Math" w:hAnsi="Cambria Math"/>
                    <w:i/>
                    <w:noProof/>
                  </w:rPr>
                </m:ctrlPr>
              </m:accPr>
              <m:e>
                <m:r>
                  <w:rPr>
                    <w:rFonts w:ascii="Cambria Math" w:hAnsi="Cambria Math"/>
                    <w:noProof/>
                  </w:rPr>
                  <m:t>H</m:t>
                </m:r>
              </m:e>
            </m:acc>
          </m:e>
        </m:nary>
        <m:r>
          <w:rPr>
            <w:rFonts w:ascii="Cambria Math" w:hAnsi="Cambria Math"/>
            <w:noProof/>
          </w:rPr>
          <m:t>∙d</m:t>
        </m:r>
        <m:acc>
          <m:accPr>
            <m:chr m:val="⃗"/>
            <m:ctrlPr>
              <w:rPr>
                <w:rFonts w:ascii="Cambria Math" w:hAnsi="Cambria Math"/>
                <w:i/>
                <w:noProof/>
              </w:rPr>
            </m:ctrlPr>
          </m:accPr>
          <m:e>
            <m:r>
              <w:rPr>
                <w:rFonts w:ascii="Cambria Math" w:hAnsi="Cambria Math"/>
                <w:noProof/>
              </w:rPr>
              <m:t>s</m:t>
            </m:r>
          </m:e>
        </m:acc>
        <m:r>
          <w:rPr>
            <w:rFonts w:ascii="Cambria Math" w:hAnsi="Cambria Math"/>
            <w:noProof/>
          </w:rPr>
          <m:t>=I∙N</m:t>
        </m:r>
      </m:oMath>
    </w:p>
    <w:p w14:paraId="00BD41F7" w14:textId="77777777" w:rsidR="0060042E" w:rsidRDefault="0060042E" w:rsidP="006515AB">
      <w:pPr>
        <w:rPr>
          <w:rFonts w:eastAsiaTheme="minorEastAsia"/>
          <w:noProof/>
        </w:rPr>
      </w:pPr>
    </w:p>
    <w:p w14:paraId="7BF892F3" w14:textId="019374CD" w:rsidR="0060042E" w:rsidRDefault="0060042E" w:rsidP="006515AB">
      <w:pPr>
        <w:rPr>
          <w:rFonts w:eastAsiaTheme="minorEastAsia"/>
          <w:noProof/>
        </w:rPr>
      </w:pPr>
      <w:r>
        <w:rPr>
          <w:rFonts w:eastAsiaTheme="minorEastAsia"/>
          <w:b/>
          <w:bCs/>
          <w:noProof/>
          <w:u w:val="single"/>
        </w:rPr>
        <w:t>Spule:</w:t>
      </w:r>
      <w:r>
        <w:rPr>
          <w:rFonts w:eastAsiaTheme="minorEastAsia"/>
          <w:noProof/>
        </w:rPr>
        <w:t xml:space="preserve"> Eine Spule besteht aus mehreren Leiterschleifen, welche hintereinander gewickelt werden. Sie hat die Länge l, den Querschnitt A, die Windungszahl N und einen inneren Kern oder keinen. Für das Magnetfeld im inneren gilt: </w:t>
      </w:r>
      <m:oMath>
        <m:acc>
          <m:accPr>
            <m:chr m:val="⃗"/>
            <m:ctrlPr>
              <w:rPr>
                <w:rFonts w:ascii="Cambria Math" w:eastAsiaTheme="minorEastAsia" w:hAnsi="Cambria Math"/>
                <w:i/>
                <w:noProof/>
              </w:rPr>
            </m:ctrlPr>
          </m:accPr>
          <m:e>
            <m:r>
              <w:rPr>
                <w:rFonts w:ascii="Cambria Math" w:eastAsiaTheme="minorEastAsia" w:hAnsi="Cambria Math"/>
                <w:noProof/>
              </w:rPr>
              <m:t>H</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I</m:t>
            </m:r>
          </m:num>
          <m:den>
            <m:r>
              <w:rPr>
                <w:rFonts w:ascii="Cambria Math" w:eastAsiaTheme="minorEastAsia" w:hAnsi="Cambria Math"/>
                <w:noProof/>
              </w:rPr>
              <m:t>2R</m:t>
            </m:r>
          </m:den>
        </m:f>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z</m:t>
                </m:r>
              </m:sub>
            </m:sSub>
          </m:e>
        </m:acc>
      </m:oMath>
      <w:r>
        <w:rPr>
          <w:rFonts w:eastAsiaTheme="minorEastAsia"/>
          <w:noProof/>
        </w:rPr>
        <w:t xml:space="preserve">. Für die magnetische Flussdichte hingegen gilt: </w:t>
      </w:r>
      <m:oMath>
        <m:r>
          <w:rPr>
            <w:rFonts w:ascii="Cambria Math" w:eastAsiaTheme="minorEastAsia" w:hAnsi="Cambria Math"/>
            <w:noProof/>
          </w:rPr>
          <m:t>B=</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∙I∙</m:t>
        </m:r>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l</m:t>
            </m:r>
          </m:den>
        </m:f>
      </m:oMath>
      <w:r>
        <w:rPr>
          <w:rFonts w:eastAsiaTheme="minorEastAsia"/>
          <w:noProof/>
        </w:rPr>
        <w:t xml:space="preserve">, wobei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=1,2566∙</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f>
          <m:fPr>
            <m:ctrlPr>
              <w:rPr>
                <w:rFonts w:ascii="Cambria Math" w:eastAsiaTheme="minorEastAsia" w:hAnsi="Cambria Math"/>
                <w:i/>
                <w:noProof/>
              </w:rPr>
            </m:ctrlPr>
          </m:fPr>
          <m:num>
            <m:r>
              <w:rPr>
                <w:rFonts w:ascii="Cambria Math" w:eastAsiaTheme="minorEastAsia" w:hAnsi="Cambria Math"/>
                <w:noProof/>
              </w:rPr>
              <m:t>N</m:t>
            </m:r>
          </m:num>
          <m:den>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den>
        </m:f>
      </m:oMath>
      <w:r>
        <w:rPr>
          <w:rFonts w:eastAsiaTheme="minorEastAsia"/>
          <w:noProof/>
        </w:rPr>
        <w:t xml:space="preserve"> und in Luft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m:t>
        </m:r>
        <m:r>
          <w:rPr>
            <w:rFonts w:ascii="Cambria Math" w:eastAsiaTheme="minorEastAsia" w:hAnsi="Cambria Math"/>
            <w:noProof/>
          </w:rPr>
          <m:t>1+4∙</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oMath>
      <w:r w:rsidR="00E9036C">
        <w:rPr>
          <w:rFonts w:eastAsiaTheme="minorEastAsia"/>
          <w:noProof/>
        </w:rPr>
        <w:t xml:space="preserve"> beträgt.</w:t>
      </w:r>
    </w:p>
    <w:p w14:paraId="101B1C46" w14:textId="77777777" w:rsidR="00E9036C" w:rsidRPr="00E9036C" w:rsidRDefault="00E9036C" w:rsidP="006515AB">
      <w:pPr>
        <w:rPr>
          <w:rFonts w:eastAsiaTheme="minorEastAsia"/>
          <w:b/>
          <w:bCs/>
          <w:u w:val="single"/>
        </w:rPr>
      </w:pPr>
    </w:p>
    <w:p w14:paraId="3D82FAF9" w14:textId="77777777" w:rsidR="006515AB" w:rsidRPr="006515AB" w:rsidRDefault="006515AB" w:rsidP="006515AB">
      <w:pPr>
        <w:rPr>
          <w:rFonts w:eastAsiaTheme="minorEastAsia"/>
        </w:rPr>
      </w:pPr>
    </w:p>
    <w:sectPr w:rsidR="006515AB" w:rsidRPr="006515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41346"/>
    <w:rsid w:val="000566C8"/>
    <w:rsid w:val="001547C4"/>
    <w:rsid w:val="00206F5D"/>
    <w:rsid w:val="003B320F"/>
    <w:rsid w:val="0060042E"/>
    <w:rsid w:val="00606529"/>
    <w:rsid w:val="006515AB"/>
    <w:rsid w:val="007D5449"/>
    <w:rsid w:val="0082290B"/>
    <w:rsid w:val="00C47540"/>
    <w:rsid w:val="00C85D5E"/>
    <w:rsid w:val="00CC09FA"/>
    <w:rsid w:val="00E90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4133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6</cp:revision>
  <dcterms:created xsi:type="dcterms:W3CDTF">2025-05-11T11:23:00Z</dcterms:created>
  <dcterms:modified xsi:type="dcterms:W3CDTF">2025-05-17T07:28:00Z</dcterms:modified>
</cp:coreProperties>
</file>