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6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Registro de pruebas y evidencias del prototipo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  <w:b/>
          <w:bCs/>
        </w:rPr>
        <w:t>Proyecto:</w:t>
      </w:r>
      <w:r>
        <w:rPr>
          <w:rFonts w:ascii="Calibri" w:hAnsi="Calibri" w:eastAsia="Calibri" w:cs="Calibri"/>
          <w:sz w:val="22"/>
          <w:szCs w:val="22"/>
        </w:rPr>
        <w:t xml:space="preserve"> JACSA Gestión — Sistema de Gestión de Pedidos </w:t>
      </w:r>
      <w:r>
        <w:rPr>
          <w:rFonts w:ascii="Calibri" w:hAnsi="Calibri" w:eastAsia="Calibri" w:cs="Calibri"/>
          <w:sz w:val="22"/>
          <w:szCs w:val="22"/>
          <w:b/>
          <w:bCs/>
        </w:rPr>
        <w:t>Fecha de la corrida reportada:</w:t>
      </w:r>
      <w:r>
        <w:rPr>
          <w:rFonts w:ascii="Calibri" w:hAnsi="Calibri" w:eastAsia="Calibri" w:cs="Calibri"/>
          <w:sz w:val="22"/>
          <w:szCs w:val="22"/>
        </w:rPr>
        <w:t xml:space="preserve"> 2026-10-27 </w:t>
      </w:r>
      <w:r>
        <w:rPr>
          <w:rFonts w:ascii="Calibri" w:hAnsi="Calibri" w:eastAsia="Calibri" w:cs="Calibri"/>
          <w:sz w:val="22"/>
          <w:szCs w:val="22"/>
          <w:b/>
          <w:bCs/>
        </w:rPr>
        <w:t>Versión de interfaz:</w:t>
      </w:r>
      <w:r>
        <w:rPr>
          <w:rFonts w:ascii="Calibri" w:hAnsi="Calibri" w:eastAsia="Calibri" w:cs="Calibri"/>
          <w:sz w:val="22"/>
          <w:szCs w:val="22"/>
        </w:rPr>
        <w:t xml:space="preserve"> 1.0.0 </w:t>
      </w:r>
      <w:r>
        <w:rPr>
          <w:rFonts w:ascii="Calibri" w:hAnsi="Calibri" w:eastAsia="Calibri" w:cs="Calibri"/>
          <w:sz w:val="22"/>
          <w:szCs w:val="22"/>
          <w:b/>
          <w:bCs/>
        </w:rPr>
        <w:t>Entorno:</w:t>
      </w:r>
      <w:r>
        <w:rPr>
          <w:rFonts w:ascii="Calibri" w:hAnsi="Calibri" w:eastAsia="Calibri" w:cs="Calibri"/>
          <w:sz w:val="22"/>
          <w:szCs w:val="22"/>
        </w:rPr>
        <w:t xml:space="preserve"> Node 24.13; React + TypeScript + Vite; API Express; SQLite local (</w:t>
      </w:r>
      <w:r>
        <w:rPr>
          <w:rFonts w:ascii="Calibri" w:hAnsi="Calibri" w:eastAsia="Calibri" w:cs="Calibri"/>
          <w:sz w:val="22"/>
          <w:szCs w:val="22"/>
        </w:rPr>
        <w:t>node:sqlite</w:t>
      </w:r>
      <w:r>
        <w:rPr>
          <w:rFonts w:ascii="Calibri" w:hAnsi="Calibri" w:eastAsia="Calibri" w:cs="Calibri"/>
          <w:sz w:val="22"/>
          <w:szCs w:val="22"/>
        </w:rPr>
        <w:t xml:space="preserve">, experimental). </w:t>
      </w:r>
      <w:r>
        <w:rPr>
          <w:rFonts w:ascii="Calibri" w:hAnsi="Calibri" w:eastAsia="Calibri" w:cs="Calibri"/>
          <w:sz w:val="22"/>
          <w:szCs w:val="22"/>
          <w:b/>
          <w:bCs/>
        </w:rPr>
        <w:t>Acceso de demo: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http://127.0.0.1:3001</w:t>
      </w:r>
      <w:r>
        <w:rPr>
          <w:rFonts w:ascii="Calibri" w:hAnsi="Calibri" w:eastAsia="Calibri" w:cs="Calibri"/>
          <w:sz w:val="22"/>
          <w:szCs w:val="22"/>
        </w:rPr>
        <w:t>, solo mientras el servicio local está iniciado. No hay URL pública.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1. Resultado de la corrida</w:t>
      </w:r>
    </w:p>
    <w:tbl>
      <w:tblPr>
        <w:tblW w:w="8504" w:type="dxa"/>
        <w:tblLayout w:type="fixed"/>
        <w:tblBorders>
          <w:top w:val="single" w:sz="4" w:color="A6B4C4"/>
          <w:left w:val="single" w:sz="4" w:color="A6B4C4"/>
          <w:bottom w:val="single" w:sz="4" w:color="A6B4C4"/>
          <w:right w:val="single" w:sz="4" w:color="A6B4C4"/>
          <w:insideH w:val="single" w:sz="4" w:color="D6DEE7"/>
          <w:insideV w:val="single" w:sz="4" w:color="D6DEE7"/>
        </w:tblBorders>
        <w:tblCellMar>
          <w:top w:w="65" w:type="dxa"/>
          <w:left w:w="75" w:type="dxa"/>
          <w:bottom w:w="65" w:type="dxa"/>
          <w:right w:w="75" w:type="dxa"/>
        </w:tblCellMar>
      </w:tblPr>
      <w:tblGrid>
        <w:gridCol w:w="1492"/>
        <w:gridCol w:w="2651"/>
        <w:gridCol w:w="4361"/>
      </w:tblGrid>
      <w:tr>
        <w:trPr>
          <w:tblHeader w:val="true"/>
        </w:trPr>
        <w:tc>
          <w:tcPr>
            <w:tcW w:w="1492" w:type="dxa"/>
            <w:shd w:val="clear" w:fill="EAF0F6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Verificación</w:t>
            </w:r>
          </w:p>
        </w:tc>
        <w:tc>
          <w:tcPr>
            <w:tcW w:w="2651" w:type="dxa"/>
            <w:shd w:val="clear" w:fill="EAF0F6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Comando o identificación registrada</w:t>
            </w:r>
          </w:p>
        </w:tc>
        <w:tc>
          <w:tcPr>
            <w:tcW w:w="4361" w:type="dxa"/>
            <w:shd w:val="clear" w:fill="EAF0F6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Resultado</w:t>
            </w:r>
          </w:p>
        </w:tc>
      </w:tr>
      <w:tr>
        <w:tc>
          <w:tcPr>
            <w:tcW w:w="1492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Build TypeScript/Vite</w:t>
            </w:r>
          </w:p>
        </w:tc>
        <w:tc>
          <w:tcPr>
            <w:tcW w:w="265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npm run build</w:t>
            </w:r>
          </w:p>
        </w:tc>
        <w:tc>
          <w:tcPr>
            <w:tcW w:w="436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Aprobado: TypeScript y Vite finalizaron correctamente.</w:t>
            </w:r>
          </w:p>
        </w:tc>
      </w:tr>
      <w:tr>
        <w:tc>
          <w:tcPr>
            <w:tcW w:w="1492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Backend/API</w:t>
            </w:r>
          </w:p>
        </w:tc>
        <w:tc>
          <w:tcPr>
            <w:tcW w:w="265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npm test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(desde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prototipo/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)</w:t>
            </w:r>
          </w:p>
        </w:tc>
        <w:tc>
          <w:tcPr>
            <w:tcW w:w="436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33/33 aprobadas.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Repetidas por coordinación sobre la versión integrada final.</w:t>
            </w:r>
          </w:p>
        </w:tc>
      </w:tr>
      <w:tr>
        <w:tc>
          <w:tcPr>
            <w:tcW w:w="1492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E2E</w:t>
            </w:r>
          </w:p>
        </w:tc>
        <w:tc>
          <w:tcPr>
            <w:tcW w:w="265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npm run test:e2e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(desde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prototipo/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)</w:t>
            </w:r>
          </w:p>
        </w:tc>
        <w:tc>
          <w:tcPr>
            <w:tcW w:w="436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5/5 aprobadas.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Repetidas por coordinación sobre la versión integrada final; Chromium, base temporal y cuatro contextos de sesión independientes.</w:t>
            </w:r>
          </w:p>
        </w:tc>
      </w:tr>
      <w:tr>
        <w:tc>
          <w:tcPr>
            <w:tcW w:w="1492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Pantalla móvil</w:t>
            </w:r>
          </w:p>
        </w:tc>
        <w:tc>
          <w:tcPr>
            <w:tcW w:w="265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Login, portal y cotizador configurados a 390 × 844 px</w:t>
            </w:r>
          </w:p>
        </w:tc>
        <w:tc>
          <w:tcPr>
            <w:tcW w:w="436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Etiquetas, foco y ausencia de desborde visible comprobados en el alcance de la corrida; no equivale a evaluación de usabilidad por una persona.</w:t>
            </w:r>
          </w:p>
        </w:tc>
      </w:tr>
      <w:tr>
        <w:tc>
          <w:tcPr>
            <w:tcW w:w="1492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Conversión de unidades (RNF09)</w:t>
            </w:r>
          </w:p>
        </w:tc>
        <w:tc>
          <w:tcPr>
            <w:tcW w:w="265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Valores de prueba 1, 144 y 200</w:t>
            </w:r>
          </w:p>
        </w:tc>
        <w:tc>
          <w:tcPr>
            <w:tcW w:w="436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Conversión funcional comprobada en esos casos. La equivalencia de negocio 100 pares = 200 unidades continúa siendo un supuesto documental, no una regla confirmada por JACSA.</w:t>
            </w:r>
          </w:p>
        </w:tc>
      </w:tr>
    </w:tbl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Las suites corresponden a la corrida coordinada; no se afirma una prueba individual por cada requisito ni cobertura completa de cada RF. Los escenarios E-01–E-18 son documentación de expectativas y permanecen separados de estas pruebas automatizadas.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2. Recorrido y valores observados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La historia de demostración usa datos sintéticos del seed y una sola solicitud/pedido para ART-001:</w:t>
      </w:r>
    </w:p>
    <w:tbl>
      <w:tblPr>
        <w:tblW w:w="8504" w:type="dxa"/>
        <w:tblLayout w:type="fixed"/>
        <w:tblBorders>
          <w:top w:val="single" w:sz="4" w:color="A6B4C4"/>
          <w:left w:val="single" w:sz="4" w:color="A6B4C4"/>
          <w:bottom w:val="single" w:sz="4" w:color="A6B4C4"/>
          <w:right w:val="single" w:sz="4" w:color="A6B4C4"/>
          <w:insideH w:val="single" w:sz="4" w:color="D6DEE7"/>
          <w:insideV w:val="single" w:sz="4" w:color="D6DEE7"/>
        </w:tblBorders>
        <w:tblCellMar>
          <w:top w:w="65" w:type="dxa"/>
          <w:left w:w="75" w:type="dxa"/>
          <w:bottom w:w="65" w:type="dxa"/>
          <w:right w:w="75" w:type="dxa"/>
        </w:tblCellMar>
      </w:tblPr>
      <w:tblGrid>
        <w:gridCol w:w="1801"/>
        <w:gridCol w:w="1870"/>
        <w:gridCol w:w="4833"/>
      </w:tblGrid>
      <w:tr>
        <w:trPr>
          <w:tblHeader w:val="true"/>
        </w:trPr>
        <w:tc>
          <w:tcPr>
            <w:tcW w:w="1801" w:type="dxa"/>
            <w:shd w:val="clear" w:fill="EAF0F6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Paso / pantalla</w:t>
            </w:r>
          </w:p>
        </w:tc>
        <w:tc>
          <w:tcPr>
            <w:tcW w:w="1870" w:type="dxa"/>
            <w:shd w:val="clear" w:fill="EAF0F6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Evidencia visual</w:t>
            </w:r>
          </w:p>
        </w:tc>
        <w:tc>
          <w:tcPr>
            <w:tcW w:w="4833" w:type="dxa"/>
            <w:shd w:val="clear" w:fill="EAF0F6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Resultado observado o esperado en la corrida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Cotizador del portal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01cotizador.png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Cliente Alfa, ART-001, 2 gruesas = 288 unidades; neto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$21.600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IVA 21%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$4.536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total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$26.136 ARS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. La vista indica que es una estimación de demo, no cotización formal.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Cotización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02cotizacion.png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Propuesta del caso ART-001 por $26.136, recargo de demostración 25%, vigencia configurada de 7 días; estados del listado visibles.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Stock y faltantes iniciales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03stockfaltante.png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Físico inicial de hilado negro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400 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y alma negra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200 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; requeridos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576 g / 288 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; faltantes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176 g / 88 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.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Pedido y planificación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04tableropedidos.png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El pedido de 288 unidades aparece en Pedidos, con Máquina 04 y prioridad visible.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Cola de producción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05operariocola.png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Pedido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Listo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</w:rPr>
              <w:t>288/288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unidades, 100% de avance y control de calidad verificado.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Portal y avisos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06portalcliente.png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Se observa el pedido y tres avisos registrados: cotización enviada, En producción y Listo. Son registros internos, no mensajes enviados.</w:t>
            </w:r>
          </w:p>
        </w:tc>
      </w:tr>
      <w:tr>
        <w:tc>
          <w:tcPr>
            <w:tcW w:w="1801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Login móvil</w:t>
            </w:r>
          </w:p>
        </w:tc>
        <w:tc>
          <w:tcPr>
            <w:tcW w:w="1870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07mobilelogin.png</w:t>
            </w:r>
          </w:p>
        </w:tc>
        <w:tc>
          <w:tcPr>
            <w:tcW w:w="4833" w:type="dxa"/>
            <w:vAlign w:val="top"/>
          </w:tcPr>
          <w:p>
            <w:pPr>
              <w:spacing w:before="0" w:after="100" w:line="276" w:lineRule="auto"/>
            </w:pPr>
            <w:r>
              <w:rPr>
                <w:rFonts w:ascii="Calibri" w:hAnsi="Calibri" w:eastAsia="Calibri" w:cs="Calibri"/>
                <w:sz w:val="20"/>
                <w:szCs w:val="20"/>
              </w:rPr>
              <w:t>Login en configuración móvil 390 × 844 px; evidencia de pantalla, no prueba con usuario final.</w:t>
            </w:r>
          </w:p>
        </w:tc>
      </w:tr>
    </w:tbl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Durante el recorrido se registró el ingreso de </w:t>
      </w:r>
      <w:r>
        <w:rPr>
          <w:rFonts w:ascii="Calibri" w:hAnsi="Calibri" w:eastAsia="Calibri" w:cs="Calibri"/>
          <w:sz w:val="22"/>
          <w:szCs w:val="22"/>
          <w:b/>
          <w:bCs/>
        </w:rPr>
        <w:t>200 g de hilado</w:t>
      </w:r>
      <w:r>
        <w:rPr>
          <w:rFonts w:ascii="Calibri" w:hAnsi="Calibri" w:eastAsia="Calibri" w:cs="Calibri"/>
          <w:sz w:val="22"/>
          <w:szCs w:val="22"/>
        </w:rPr>
        <w:t xml:space="preserve"> y </w:t>
      </w:r>
      <w:r>
        <w:rPr>
          <w:rFonts w:ascii="Calibri" w:hAnsi="Calibri" w:eastAsia="Calibri" w:cs="Calibri"/>
          <w:sz w:val="22"/>
          <w:szCs w:val="22"/>
          <w:b/>
          <w:bCs/>
        </w:rPr>
        <w:t>100 g de alma</w:t>
      </w:r>
      <w:r>
        <w:rPr>
          <w:rFonts w:ascii="Calibri" w:hAnsi="Calibri" w:eastAsia="Calibri" w:cs="Calibri"/>
          <w:sz w:val="22"/>
          <w:szCs w:val="22"/>
        </w:rPr>
        <w:t xml:space="preserve">. Con esa reposición se cubrieron los faltantes y, tras el consumo de </w:t>
      </w:r>
      <w:r>
        <w:rPr>
          <w:rFonts w:ascii="Calibri" w:hAnsi="Calibri" w:eastAsia="Calibri" w:cs="Calibri"/>
          <w:sz w:val="22"/>
          <w:szCs w:val="22"/>
          <w:b/>
          <w:bCs/>
        </w:rPr>
        <w:t>576 g / 288 g</w:t>
      </w:r>
      <w:r>
        <w:rPr>
          <w:rFonts w:ascii="Calibri" w:hAnsi="Calibri" w:eastAsia="Calibri" w:cs="Calibri"/>
          <w:sz w:val="22"/>
          <w:szCs w:val="22"/>
        </w:rPr>
        <w:t xml:space="preserve">, quedaron </w:t>
      </w:r>
      <w:r>
        <w:rPr>
          <w:rFonts w:ascii="Calibri" w:hAnsi="Calibri" w:eastAsia="Calibri" w:cs="Calibri"/>
          <w:sz w:val="22"/>
          <w:szCs w:val="22"/>
          <w:b/>
          <w:bCs/>
        </w:rPr>
        <w:t>24 g / 12 g</w:t>
      </w:r>
      <w:r>
        <w:rPr>
          <w:rFonts w:ascii="Calibri" w:hAnsi="Calibri" w:eastAsia="Calibri" w:cs="Calibri"/>
          <w:sz w:val="22"/>
          <w:szCs w:val="22"/>
        </w:rPr>
        <w:t xml:space="preserve"> respectivamente. Un cuarto evento de estado </w:t>
      </w:r>
      <w:r>
        <w:rPr>
          <w:rFonts w:ascii="Calibri" w:hAnsi="Calibri" w:eastAsia="Calibri" w:cs="Calibri"/>
          <w:sz w:val="22"/>
          <w:szCs w:val="22"/>
          <w:b/>
          <w:bCs/>
        </w:rPr>
        <w:t>Entregado</w:t>
      </w:r>
      <w:r>
        <w:rPr>
          <w:rFonts w:ascii="Calibri" w:hAnsi="Calibri" w:eastAsia="Calibri" w:cs="Calibri"/>
          <w:sz w:val="22"/>
          <w:szCs w:val="22"/>
        </w:rPr>
        <w:t xml:space="preserve"> fue probado en backend; no se presenta como parte de los tres avisos observados en el recorrido del portal.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Los pedidos seed adicionales corresponden a otros artículos y no consumen INS-NEGRO ni INS-ALMA. Las capturas son PNG reales del prototipo y se adjuntan, cada una en página propia, en los DOCX de entrega.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3. Cobertura funcional informada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 xml:space="preserve">Las pruebas automatizadas de esta corrida cubrieron comportamientos asociados con RF04, RF05, RF07, RF09, RF10, RF11, RF13, RF14, RF15, RF16, RF17, RF20, RF21, RF22 y RF26. La descripción detallada y los límites por requisito están en la tabla de resultados de 4.6 de </w:t>
      </w:r>
      <w:r>
        <w:rPr>
          <w:rFonts w:ascii="Calibri" w:hAnsi="Calibri" w:eastAsia="Calibri" w:cs="Calibri"/>
          <w:sz w:val="22"/>
          <w:szCs w:val="22"/>
        </w:rPr>
        <w:t>capitulo-4-validacion.md</w:t>
      </w:r>
      <w:r>
        <w:rPr>
          <w:rFonts w:ascii="Calibri" w:hAnsi="Calibri" w:eastAsia="Calibri" w:cs="Calibri"/>
          <w:sz w:val="22"/>
          <w:szCs w:val="22"/>
        </w:rPr>
        <w:t>.</w:t>
      </w:r>
    </w:p>
    <w:p>
      <w:pPr>
        <w:spacing w:before="0" w:after="100" w:line="276" w:lineRule="auto"/>
      </w:pPr>
      <w:r>
        <w:rPr>
          <w:rFonts w:ascii="Calibri" w:hAnsi="Calibri" w:eastAsia="Calibri" w:cs="Calibri"/>
          <w:sz w:val="22"/>
          <w:szCs w:val="22"/>
        </w:rPr>
        <w:t>RF01/RF02 se usaron solo mediante lectura de catálogo/ficha seed; no se ejecutó CRUD completo. RF03, RF12, RF23, RF24, RF25 y RF27 no se deben presentar como requisitos completos validados por esta corrida. La historia visual muestra un subconjunto del comportamiento, no todos los casos límite o transiciones.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4. Límites explícitos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Los roles del recorrido son perfiles representados en el prototipo; no son usuarios/personas de JACSA ni una aprobación del negocio. No hubo entrevistas, firmas, actas ni sesiones de usabilidad.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Las comprobaciones de seguridad reportadas son básicas. No constituyen auditoría, certificación ni evaluación formal exhaustiva.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No se instrumentó latencia; no se afirma el umbral RNF05 de tres segundos. No se observó operación durante un mes y no se afirma el 99% de disponibilidad RNF06.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La verificación móvil se limita a login/portal/cotizador en 390 × 844 px; no se afirma cobertura responsive total ni que RNF01 cumpla el criterio de tres toques.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El consentimiento del portal y el uso de datos sintéticos no prueban cumplimiento integral de Ley 25.326; no hay dictamen legal.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No se enviaron correos/WhatsApp reales. No hay exposición pública del servicio ni datos productivos.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• </w:t>
      </w:r>
      <w:r>
        <w:rPr>
          <w:rFonts w:ascii="Calibri" w:hAnsi="Calibri" w:eastAsia="Calibri" w:cs="Calibri"/>
          <w:sz w:val="22"/>
          <w:szCs w:val="22"/>
        </w:rPr>
        <w:t>La compilación y las suites aprobadas no equivalen a aceptación formal de RF/RNF ni extienden el alcance a RF23/RF24/RF25/RF27.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5. Capturas adjuntas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1. </w:t>
      </w:r>
      <w:r>
        <w:rPr>
          <w:rFonts w:ascii="Calibri" w:hAnsi="Calibri" w:eastAsia="Calibri" w:cs="Calibri"/>
          <w:sz w:val="22"/>
          <w:szCs w:val="22"/>
        </w:rPr>
        <w:t>01cotizador.png</w:t>
      </w:r>
      <w:r>
        <w:rPr>
          <w:rFonts w:ascii="Calibri" w:hAnsi="Calibri" w:eastAsia="Calibri" w:cs="Calibri"/>
          <w:sz w:val="22"/>
          <w:szCs w:val="22"/>
        </w:rPr>
        <w:t xml:space="preserve"> — portal, solicitud y estimación.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2. </w:t>
      </w:r>
      <w:r>
        <w:rPr>
          <w:rFonts w:ascii="Calibri" w:hAnsi="Calibri" w:eastAsia="Calibri" w:cs="Calibri"/>
          <w:sz w:val="22"/>
          <w:szCs w:val="22"/>
        </w:rPr>
        <w:t>02cotizacion.png</w:t>
      </w:r>
      <w:r>
        <w:rPr>
          <w:rFonts w:ascii="Calibri" w:hAnsi="Calibri" w:eastAsia="Calibri" w:cs="Calibri"/>
          <w:sz w:val="22"/>
          <w:szCs w:val="22"/>
        </w:rPr>
        <w:t xml:space="preserve"> — propuestas y acciones comerciales.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3. </w:t>
      </w:r>
      <w:r>
        <w:rPr>
          <w:rFonts w:ascii="Calibri" w:hAnsi="Calibri" w:eastAsia="Calibri" w:cs="Calibri"/>
          <w:sz w:val="22"/>
          <w:szCs w:val="22"/>
        </w:rPr>
        <w:t>03stockfaltante.png</w:t>
      </w:r>
      <w:r>
        <w:rPr>
          <w:rFonts w:ascii="Calibri" w:hAnsi="Calibri" w:eastAsia="Calibri" w:cs="Calibri"/>
          <w:sz w:val="22"/>
          <w:szCs w:val="22"/>
        </w:rPr>
        <w:t xml:space="preserve"> — stock, reservas y faltantes.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4. </w:t>
      </w:r>
      <w:r>
        <w:rPr>
          <w:rFonts w:ascii="Calibri" w:hAnsi="Calibri" w:eastAsia="Calibri" w:cs="Calibri"/>
          <w:sz w:val="22"/>
          <w:szCs w:val="22"/>
        </w:rPr>
        <w:t>04tableropedidos.png</w:t>
      </w:r>
      <w:r>
        <w:rPr>
          <w:rFonts w:ascii="Calibri" w:hAnsi="Calibri" w:eastAsia="Calibri" w:cs="Calibri"/>
          <w:sz w:val="22"/>
          <w:szCs w:val="22"/>
        </w:rPr>
        <w:t xml:space="preserve"> — pedidos y planificación.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5. </w:t>
      </w:r>
      <w:r>
        <w:rPr>
          <w:rFonts w:ascii="Calibri" w:hAnsi="Calibri" w:eastAsia="Calibri" w:cs="Calibri"/>
          <w:sz w:val="22"/>
          <w:szCs w:val="22"/>
        </w:rPr>
        <w:t>05operariocola.png</w:t>
      </w:r>
      <w:r>
        <w:rPr>
          <w:rFonts w:ascii="Calibri" w:hAnsi="Calibri" w:eastAsia="Calibri" w:cs="Calibri"/>
          <w:sz w:val="22"/>
          <w:szCs w:val="22"/>
        </w:rPr>
        <w:t xml:space="preserve"> — cola, avance y estado Listo.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6. </w:t>
      </w:r>
      <w:r>
        <w:rPr>
          <w:rFonts w:ascii="Calibri" w:hAnsi="Calibri" w:eastAsia="Calibri" w:cs="Calibri"/>
          <w:sz w:val="22"/>
          <w:szCs w:val="22"/>
        </w:rPr>
        <w:t>06portalcliente.png</w:t>
      </w:r>
      <w:r>
        <w:rPr>
          <w:rFonts w:ascii="Calibri" w:hAnsi="Calibri" w:eastAsia="Calibri" w:cs="Calibri"/>
          <w:sz w:val="22"/>
          <w:szCs w:val="22"/>
        </w:rPr>
        <w:t xml:space="preserve"> — portal y avisos registrados.</w:t>
      </w:r>
    </w:p>
    <w:p>
      <w:pPr>
        <w:spacing w:before="0" w:after="100" w:line="276" w:lineRule="auto"/>
        <w:ind w:left="360" w:hanging="180"/>
      </w:pPr>
      <w:r>
        <w:rPr>
          <w:rFonts w:ascii="Calibri" w:hAnsi="Calibri" w:eastAsia="Calibri" w:cs="Calibri"/>
          <w:sz w:val="22"/>
          <w:szCs w:val="22"/>
        </w:rPr>
        <w:t xml:space="preserve">7. </w:t>
      </w:r>
      <w:r>
        <w:rPr>
          <w:rFonts w:ascii="Calibri" w:hAnsi="Calibri" w:eastAsia="Calibri" w:cs="Calibri"/>
          <w:sz w:val="22"/>
          <w:szCs w:val="22"/>
        </w:rPr>
        <w:t>07mobilelogin.png</w:t>
      </w:r>
      <w:r>
        <w:rPr>
          <w:rFonts w:ascii="Calibri" w:hAnsi="Calibri" w:eastAsia="Calibri" w:cs="Calibri"/>
          <w:sz w:val="22"/>
          <w:szCs w:val="22"/>
        </w:rPr>
        <w:t xml:space="preserve"> — login en configuración móvil.</w:t>
      </w:r>
    </w:p>
    <w:p>
      <w:pPr>
        <w:spacing w:before="170" w:after="120"/>
        <w:keepNext/>
      </w:pPr>
      <w:r>
        <w:rPr>
          <w:rFonts w:ascii="Calibri" w:hAnsi="Calibri" w:eastAsia="Calibri" w:cs="Calibri"/>
          <w:sz w:val="28"/>
          <w:szCs w:val="28"/>
          <w:b/>
          <w:bCs/>
        </w:rPr>
        <w:t>Anexo visual — capturas del prototipo</w:t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01 — 01cotizador.png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400040" cy="5605755"/>
            <wp:effectExtent l="0" t="0" r="0" b="0"/>
            <wp:docPr id="22" name="01cotizador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01cotizador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02 — 02cotizacion.png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400040" cy="4151051"/>
            <wp:effectExtent l="0" t="0" r="0" b="0"/>
            <wp:docPr id="23" name="02cotizacion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02cotizacion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03 — 03stockfaltante.png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400040" cy="4411869"/>
            <wp:effectExtent l="0" t="0" r="0" b="0"/>
            <wp:docPr id="24" name="03stockfaltante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03stockfaltante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04 — 04tableropedidos.png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400040" cy="3673496"/>
            <wp:effectExtent l="0" t="0" r="0" b="0"/>
            <wp:docPr id="25" name="04tableropedidos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04tableropedidos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05 — 05operariocola.png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400040" cy="3673496"/>
            <wp:effectExtent l="0" t="0" r="0" b="0"/>
            <wp:docPr id="26" name="05operariocola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05operariocola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06 — 06portalcliente.png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400040" cy="5385346"/>
            <wp:effectExtent l="0" t="0" r="0" b="0"/>
            <wp:docPr id="27" name="06portalcliente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06portalcliente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Calibri" w:hAnsi="Calibri" w:eastAsia="Calibri" w:cs="Calibri"/>
          <w:sz w:val="20"/>
          <w:szCs w:val="20"/>
          <w:b/>
          <w:bCs/>
        </w:rPr>
        <w:t>Captura 07 — 07mobilelogin.png</w:t>
      </w:r>
    </w:p>
    <w:p>
      <w:pPr>
        <w:jc w:val="center"/>
      </w:pPr>
      <w: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2526997" cy="6000000"/>
            <wp:effectExtent l="0" t="0" r="0" b="0"/>
            <wp:docPr id="28" name="07mobilelogin.png" descr="Captura local del prototip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07mobilelogin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6997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3500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3500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3500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3500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D3500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3500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3500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3500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3500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3500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3500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3500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3500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3500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3500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3500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3500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3500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3500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500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35007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5C33B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C33BF"/>
  </w:style>
  <w:style w:type="paragraph" w:styleId="Piedepgina">
    <w:name w:val="footer"/>
    <w:basedOn w:val="Normal"/>
    <w:link w:val="PiedepginaCar"/>
    <w:uiPriority w:val="99"/>
    <w:unhideWhenUsed w:val="1"/>
    <w:rsid w:val="005C33B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C33B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gif"/><Relationship Id="rId22" Type="http://schemas.openxmlformats.org/officeDocument/2006/relationships/image" Target="media/image13.gif"/><Relationship Id="rId21" Type="http://schemas.openxmlformats.org/officeDocument/2006/relationships/image" Target="media/image7.gif"/><Relationship Id="rId24" Type="http://schemas.openxmlformats.org/officeDocument/2006/relationships/header" Target="header3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Relationship Id="rId11" Type="http://schemas.openxmlformats.org/officeDocument/2006/relationships/image" Target="media/image3.jpg"/><Relationship Id="rId10" Type="http://schemas.openxmlformats.org/officeDocument/2006/relationships/image" Target="media/image14.gif"/><Relationship Id="rId13" Type="http://schemas.openxmlformats.org/officeDocument/2006/relationships/image" Target="media/image15.jpg"/><Relationship Id="rId12" Type="http://schemas.openxmlformats.org/officeDocument/2006/relationships/image" Target="media/image8.gif"/><Relationship Id="rId15" Type="http://schemas.openxmlformats.org/officeDocument/2006/relationships/image" Target="media/image4.jpg"/><Relationship Id="rId14" Type="http://schemas.openxmlformats.org/officeDocument/2006/relationships/image" Target="media/image9.gif"/><Relationship Id="rId17" Type="http://schemas.openxmlformats.org/officeDocument/2006/relationships/image" Target="media/image11.gif"/><Relationship Id="rId16" Type="http://schemas.openxmlformats.org/officeDocument/2006/relationships/image" Target="media/image6.jpg"/><Relationship Id="rId19" Type="http://schemas.openxmlformats.org/officeDocument/2006/relationships/image" Target="media/image20.png"/><Relationship Id="rId18" Type="http://schemas.openxmlformats.org/officeDocument/2006/relationships/image" Target="media/image12.png"/><Relationship Id="rId29" Type="http://schemas.openxmlformats.org/officeDocument/2006/relationships/image" Target="media/prototipo-01cotizador.png"/><Relationship Id="rId30" Type="http://schemas.openxmlformats.org/officeDocument/2006/relationships/image" Target="media/prototipo-02cotizacion.png"/><Relationship Id="rId31" Type="http://schemas.openxmlformats.org/officeDocument/2006/relationships/image" Target="media/prototipo-03stockfaltante.png"/><Relationship Id="rId32" Type="http://schemas.openxmlformats.org/officeDocument/2006/relationships/image" Target="media/prototipo-04tableropedidos.png"/><Relationship Id="rId33" Type="http://schemas.openxmlformats.org/officeDocument/2006/relationships/image" Target="media/prototipo-05operariocola.png"/><Relationship Id="rId34" Type="http://schemas.openxmlformats.org/officeDocument/2006/relationships/image" Target="media/prototipo-06portalcliente.png"/><Relationship Id="rId35" Type="http://schemas.openxmlformats.org/officeDocument/2006/relationships/image" Target="media/prototipo-07mobilelogin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tmYuehClntY0tIEMEKJMDiFYFw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eCgIxNRIYChYIB0ISCgdHZW9yZ2lhEgdHdW5nc3VoGg4KAjE2EggKBggFMgIIARoeCgIxNxIYChYIB0ISCgdHZW9yZ2lhEgdHdW5nc3VoGg4KAjE4EggKBggFMgIIARoOCgIxORIICgYIBTICCAEaDgoCMjASCAoGCAUyAggBGg4KAjIxEggKBggFMgIIARoOCgIyMhIICgYIBTICCAEaDgoCMjMSCAoGCAUyAggBGg4KAjI0EggKBggFMgIIARoOCgIyNRIICgYIBTICCAEaHgoCMjYSGAoWCAdCEgoHR2VvcmdpYRIHR3VuZ3N1aBoOCgIyNxIICgYIBTICCAEaHgoCMjgSGAoWCAdCEgoHR2VvcmdpYRIHR3VuZ3N1aBoOCgIyORIICgYIBTICCAEaDgoCMzASCAoGCAUyAggBGg4KAjMxEggKBggFMgIIARoOCgIzMhIICgYIBTICCAEaDgoCMzMSCAoGCAUyAggBGg4KAjM0EggKBggFMgIIARoOCgIzNRIICgYIBTICCAEaDgoCMzYSCAoGCAUyAggBGh4KAjM3EhgKFggHQhIKB0dlb3JnaWESB0d1bmdzdWgaDgoCMzgSCAoGCAUyAggBGh4KAjM5EhgKFggHQhIKB0dlb3JnaWESB0d1bmdzdWgaDgoCNDASCAoGCAUyAggBGg4KAjQxEggKBggFMgIIARoOCgI0MhIICgYIBTICCAEaDgoCNDMSCAoGCAUyAggBGg4KAjQ0EggKBggFMgIIARoOCgI0NRIICgYIBTICCAEaDgoCNDYSCAoGCAUyAggBGg4KAjQ3EggKBggFMgIIARoeCgI0OBIYChYIB0ISCgdHZW9yZ2lhEgdHdW5nc3VoGg4KAjQ5EggKBggFMgIIARoeCgI1MBIYChYIB0ISCgdHZW9yZ2lhEgdHdW5nc3VoGg4KAjUxEggKBggFMgIIARoOCgI1MhIICgYIBTICCAEaDgoCNTMSCAoGCAUyAggBGg4KAjU0EggKBggFMgIIARoOCgI1NRIICgYIBTICCAEaDgoCNTYSCAoGCAUyAggBGg4KAjU3EggKBggFMgIIARoOCgI1OBIICgYIBTICCAEaHgoCNTkSGAoWCAdCEgoHR2VvcmdpYRIHR3VuZ3N1aBoOCgI2MBIICgYIBTICCAEaHgoCNjESGAoWCAdCEgoHR2VvcmdpYRIHR3VuZ3N1aBoOCgI2MhIICgYIBTICCAEaDgoCNjMSCAoGCAUyAggBGg4KAjY0EggKBggFMgIIARoOCgI2NRIICgYIBTICCAEaDgoCNjYSCAoGCAUyAggBGg4KAjY3EggKBggFMgIIARoOCgI2OBIICgYIBTICCAEaDgoCNjkSCAoGCAUyAggBGh4KAjcwEhgKFggHQhIKB0dlb3JnaWESB0d1bmdzdWgaDgoCNzESCAoGCAUyAggBGh4KAjcyEhgKFggHQhIKB0dlb3JnaWESB0d1bmdzdWgaDgoCNzMSCAoGCAUyAggBGg4KAjc0EggKBggFMgIIARoOCgI3NRIICgYIBTICCAEaDgoCNzYSCAoGCAUyAggBGg4KAjc3EggKBggFMgIIARoOCgI3OBIICgYIBTICCAEaDgoCNzkSCAoGCAUyAggBGg4KAjgwEggKBggFMgIIARoeCgI4MRIYChYIB0ISCgdHZW9yZ2lhEgdHdW5nc3VoGg4KAjgyEggKBggFMgIIARoeCgI4MxIYChYIB0ISCgdHZW9yZ2lhEgdHdW5nc3VoGg4KAjg0EggKBggFMgIIARoOCgI4NRIICgYIBTICCAEaDgoCODYSCAoGCAUyAggBGg4KAjg3EggKBggFMgIIARoOCgI4OBIICgYIBTICCAEaDgoCODkSCAoGCAUyAggBGg4KAjkwEggKBggFMgIIARoOCgI5MRIICgYIBTICCAEaHgoCOTISGAoWCAdCEgoHR2VvcmdpYRIHR3VuZ3N1aBoOCgI5MxIICgYIBTICCAEaDgoCOTQSCAoGCAUyAggBGh4KAjk1EhgKFggHQhIKB0dlb3JnaWESB0d1bmdzdWgaDgoCOTYSCAoGCAUyAggBGg4KAjk3EggKBggFMgIIARoOCgI5OBIICgYIBTICCAEaIAoCOTkSGgoYCAlSFAoSdGFibGUuMXFrZzBuYzM2eDF3Mg5oLnV5NG5rbmF4bXprZzIOaC5sdjQ0cjE2czljMmMyDmgucWtzMHJ4Y3o2eHNzMg5oLmpyMDBrNGg2NGMwcjINaC5nM2U4ajg3ZnYxdTIOaC5ncm5tczM4enp2dXMyDmgubWdqaTA4Zjl6ZmJjMg5oLmV6b3N4cXdwc2dmcDIOaC5ybG1oOW9jZ2NqZG0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WguODUwZmxxbjd1dTk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4yYnNuemZmc2pjNXMyDmgubGM0NzFrbjMydDVzMg5oLmxjNDcxa24zMnQ1czIOaC5sYzQ3MWtuMzJ0NXMyDmgubGM0NzFrbjMydDVzMg5oLmxjNDcxa24zMnQ1czIOaC5yZTRtMm4xNTVnemUyDmgubGM0NzFrbjMydDVzMg5oLm56NWg4Z3I5bmR0ajIOaC5sYzVnMDc0ajh6eTkyDmgueXpndGdndWY2bXozMg5oLmJibDJncWs4anNnYjIOaC43MmpnaWR3M3cwOTgyDmgucDBkc2t1dXlrOGozMg5oLnY3bWxrYjR6MGJqdjIOaC56ZGdtZ3Jnd2Z3cnQyDWgud3ppYzN0YmJobzkyDmgubXozc2htODQ2c3lwMg5oLmh6dWp4c3d1Ymc2dDgAciExVnVGTm9HVkRUWi05eDI3MFhPYUVKX3VzaW1PUjlUL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2026-10-05T22:32:00Z</dcterms:created>
  <dc:creator>Abad Cancinos, Lucas Emir (Soporte Externo)</dc:creator>
  <dc:title>Prototipo JACSA — Registro de evidencias</dc:title>
</cp:coreProperties>
</file>