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docProps/core.xml" ContentType="application/vnd.openxmlformats-package.core-properties+xml"/>
</ns0: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spacing w:before="26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Guion de presentación — JACSA Gestión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Versión editorial:</w:t>
      </w:r>
      <w:r>
        <w:rPr>
          <w:rFonts w:ascii="Calibri" w:hAnsi="Calibri" w:eastAsia="Calibri" w:cs="Calibri"/>
          <w:sz w:val="22"/>
          <w:szCs w:val="22"/>
        </w:rPr>
        <w:t xml:space="preserve"> integración del diseño definitivo </w:t>
      </w:r>
      <w:r>
        <w:rPr>
          <w:rFonts w:ascii="Calibri" w:hAnsi="Calibri" w:eastAsia="Calibri" w:cs="Calibri"/>
          <w:sz w:val="22"/>
          <w:szCs w:val="22"/>
        </w:rPr>
        <w:t>`diseno-video-5min.md` (diseno-video-5min.md)</w:t>
      </w:r>
      <w:r>
        <w:rPr>
          <w:rFonts w:ascii="Calibri" w:hAnsi="Calibri" w:eastAsia="Calibri" w:cs="Calibri"/>
          <w:sz w:val="22"/>
          <w:szCs w:val="22"/>
        </w:rPr>
        <w:t xml:space="preserve"> con el cierre de QA registrado el 2026-10-30 UTC. Las locuciones B1–B3 se conservan; B4–B5 tienen ajustes mínimos explicados en el storyboard. </w:t>
      </w:r>
      <w:r>
        <w:rPr>
          <w:rFonts w:ascii="Calibri" w:hAnsi="Calibri" w:eastAsia="Calibri" w:cs="Calibri"/>
          <w:sz w:val="22"/>
          <w:szCs w:val="22"/>
          <w:b/>
          <w:bCs/>
        </w:rPr>
        <w:t>Estado:</w:t>
      </w:r>
      <w:r>
        <w:rPr>
          <w:rFonts w:ascii="Calibri" w:hAnsi="Calibri" w:eastAsia="Calibri" w:cs="Calibri"/>
          <w:sz w:val="22"/>
          <w:szCs w:val="22"/>
        </w:rPr>
        <w:t xml:space="preserve"> texto para cinco clips independientes; todavía no es una lectura humana ensayada ni un video grabado. Las duraciones son presupuestos, no mediciones.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Reparto y presupuesto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1424"/>
        <w:gridCol w:w="1424"/>
        <w:gridCol w:w="4140"/>
        <w:gridCol w:w="1516"/>
      </w:tblGrid>
      <w:tr>
        <w:trPr>
          <w:tblHeader w:val="true"/>
        </w:trPr>
        <w:tc>
          <w:tcPr>
            <w:tcW w:w="1424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Clip</w:t>
            </w:r>
          </w:p>
        </w:tc>
        <w:tc>
          <w:tcPr>
            <w:tcW w:w="1424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Locución</w:t>
            </w:r>
          </w:p>
        </w:tc>
        <w:tc>
          <w:tcPr>
            <w:tcW w:w="4140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Contenido</w:t>
            </w:r>
          </w:p>
        </w:tc>
        <w:tc>
          <w:tcPr>
            <w:tcW w:w="1516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Ventana del montaje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B1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Persona1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Cliente configura y envía la solicitud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0:00–0:58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B2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Persona2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Comercial convierte cotización en pedido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0:58–1:56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B3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Persona3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Administración recibe insumos; minicorte de Rodrigo para planificar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1:56–2:54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B4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Persona4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Operario produce y registra el control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2:54–3:52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B5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Persona5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Cliente consulta su pedido y sus avisos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3:52–4:50</w:t>
            </w:r>
          </w:p>
        </w:tc>
      </w:tr>
      <w:tr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Total</w:t>
            </w:r>
          </w:p>
        </w:tc>
        <w:tc>
          <w:tcPr>
            <w:tcW w:w="142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5 personas</w:t>
            </w:r>
          </w:p>
        </w:tc>
        <w:tc>
          <w:tcPr>
            <w:tcW w:w="414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5 clips de 58 s</w:t>
            </w:r>
          </w:p>
        </w:tc>
        <w:tc>
          <w:tcPr>
            <w:tcW w:w="151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290 s (4:50)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Cada clip incluye rótulo, acción/voz y transición o cierre; no hay intro ni créditos adicionales. El objetivo editorial global es 285–295 s y el límite absoluto es 300 s. Consultar el </w:t>
      </w:r>
      <w:r>
        <w:rPr>
          <w:rFonts w:ascii="Calibri" w:hAnsi="Calibri" w:eastAsia="Calibri" w:cs="Calibri"/>
          <w:sz w:val="22"/>
          <w:szCs w:val="22"/>
        </w:rPr>
        <w:t>storyboard de montaje (storyboard-video.md)</w:t>
      </w:r>
      <w:r>
        <w:rPr>
          <w:rFonts w:ascii="Calibri" w:hAnsi="Calibri" w:eastAsia="Calibri" w:cs="Calibri"/>
          <w:sz w:val="22"/>
          <w:szCs w:val="22"/>
        </w:rPr>
        <w:t xml:space="preserve"> para los subpresupuestos y fotogramas reales de referencia, y el </w:t>
      </w:r>
      <w:r>
        <w:rPr>
          <w:rFonts w:ascii="Calibri" w:hAnsi="Calibri" w:eastAsia="Calibri" w:cs="Calibri"/>
          <w:sz w:val="22"/>
          <w:szCs w:val="22"/>
        </w:rPr>
        <w:t>ensayo operativo (ensayo-video.md)</w:t>
      </w:r>
      <w:r>
        <w:rPr>
          <w:rFonts w:ascii="Calibri" w:hAnsi="Calibri" w:eastAsia="Calibri" w:cs="Calibri"/>
          <w:sz w:val="22"/>
          <w:szCs w:val="22"/>
        </w:rPr>
        <w:t xml:space="preserve"> para preparar o repetir cada estado.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Historia única y cifras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Cliente Alfa pide </w:t>
      </w:r>
      <w:r>
        <w:rPr>
          <w:rFonts w:ascii="Calibri" w:hAnsi="Calibri" w:eastAsia="Calibri" w:cs="Calibri"/>
          <w:sz w:val="22"/>
          <w:szCs w:val="22"/>
          <w:b/>
          <w:bCs/>
        </w:rPr>
        <w:t>ART-001</w:t>
      </w:r>
      <w:r>
        <w:rPr>
          <w:rFonts w:ascii="Calibri" w:hAnsi="Calibri" w:eastAsia="Calibri" w:cs="Calibri"/>
          <w:sz w:val="22"/>
          <w:szCs w:val="22"/>
        </w:rPr>
        <w:t>, dos gruesas (</w:t>
      </w:r>
      <w:r>
        <w:rPr>
          <w:rFonts w:ascii="Calibri" w:hAnsi="Calibri" w:eastAsia="Calibri" w:cs="Calibri"/>
          <w:sz w:val="22"/>
          <w:szCs w:val="22"/>
          <w:b/>
          <w:bCs/>
        </w:rPr>
        <w:t>288 cordones</w:t>
      </w:r>
      <w:r>
        <w:rPr>
          <w:rFonts w:ascii="Calibri" w:hAnsi="Calibri" w:eastAsia="Calibri" w:cs="Calibri"/>
          <w:sz w:val="22"/>
          <w:szCs w:val="22"/>
        </w:rPr>
        <w:t xml:space="preserve">). La vista previa y cotización formal muestran </w:t>
      </w:r>
      <w:r>
        <w:rPr>
          <w:rFonts w:ascii="Calibri" w:hAnsi="Calibri" w:eastAsia="Calibri" w:cs="Calibri"/>
          <w:sz w:val="22"/>
          <w:szCs w:val="22"/>
          <w:b/>
          <w:bCs/>
        </w:rPr>
        <w:t>21.600 ARS netos + 4.536 ARS de IVA = 26.136 ARS</w:t>
      </w:r>
      <w:r>
        <w:rPr>
          <w:rFonts w:ascii="Calibri" w:hAnsi="Calibri" w:eastAsia="Calibri" w:cs="Calibri"/>
          <w:sz w:val="22"/>
          <w:szCs w:val="22"/>
        </w:rPr>
        <w:t xml:space="preserve">. El pedido reserva al inicio </w:t>
      </w:r>
      <w:r>
        <w:rPr>
          <w:rFonts w:ascii="Calibri" w:hAnsi="Calibri" w:eastAsia="Calibri" w:cs="Calibri"/>
          <w:sz w:val="22"/>
          <w:szCs w:val="22"/>
          <w:b/>
          <w:bCs/>
        </w:rPr>
        <w:t>400 g de hilado negro</w:t>
      </w:r>
      <w:r>
        <w:rPr>
          <w:rFonts w:ascii="Calibri" w:hAnsi="Calibri" w:eastAsia="Calibri" w:cs="Calibri"/>
          <w:sz w:val="22"/>
          <w:szCs w:val="22"/>
        </w:rPr>
        <w:t xml:space="preserve"> y </w:t>
      </w:r>
      <w:r>
        <w:rPr>
          <w:rFonts w:ascii="Calibri" w:hAnsi="Calibri" w:eastAsia="Calibri" w:cs="Calibri"/>
          <w:sz w:val="22"/>
          <w:szCs w:val="22"/>
          <w:b/>
          <w:bCs/>
        </w:rPr>
        <w:t>200 g de alma negra</w:t>
      </w:r>
      <w:r>
        <w:rPr>
          <w:rFonts w:ascii="Calibri" w:hAnsi="Calibri" w:eastAsia="Calibri" w:cs="Calibri"/>
          <w:sz w:val="22"/>
          <w:szCs w:val="22"/>
        </w:rPr>
        <w:t xml:space="preserve">; requiere 576 g y 288 g, por lo que faltan </w:t>
      </w:r>
      <w:r>
        <w:rPr>
          <w:rFonts w:ascii="Calibri" w:hAnsi="Calibri" w:eastAsia="Calibri" w:cs="Calibri"/>
          <w:sz w:val="22"/>
          <w:szCs w:val="22"/>
          <w:b/>
          <w:bCs/>
        </w:rPr>
        <w:t>176 g y 88 g</w:t>
      </w:r>
      <w:r>
        <w:rPr>
          <w:rFonts w:ascii="Calibri" w:hAnsi="Calibri" w:eastAsia="Calibri" w:cs="Calibri"/>
          <w:sz w:val="22"/>
          <w:szCs w:val="22"/>
        </w:rPr>
        <w:t xml:space="preserve">. Administración ingresa 200 g y 100 g; Rodrigo planifica </w:t>
      </w:r>
      <w:r>
        <w:rPr>
          <w:rFonts w:ascii="Calibri" w:hAnsi="Calibri" w:eastAsia="Calibri" w:cs="Calibri"/>
          <w:sz w:val="22"/>
          <w:szCs w:val="22"/>
          <w:b/>
          <w:bCs/>
        </w:rPr>
        <w:t>Máquina 04 / prioridad 1</w:t>
      </w:r>
      <w:r>
        <w:rPr>
          <w:rFonts w:ascii="Calibri" w:hAnsi="Calibri" w:eastAsia="Calibri" w:cs="Calibri"/>
          <w:sz w:val="22"/>
          <w:szCs w:val="22"/>
        </w:rPr>
        <w:t xml:space="preserve"> dentro de B3. Tras producir 288, el saldo físico es </w:t>
      </w:r>
      <w:r>
        <w:rPr>
          <w:rFonts w:ascii="Calibri" w:hAnsi="Calibri" w:eastAsia="Calibri" w:cs="Calibri"/>
          <w:sz w:val="22"/>
          <w:szCs w:val="22"/>
          <w:b/>
          <w:bCs/>
        </w:rPr>
        <w:t>24 g y 12 g</w:t>
      </w:r>
      <w:r>
        <w:rPr>
          <w:rFonts w:ascii="Calibri" w:hAnsi="Calibri" w:eastAsia="Calibri" w:cs="Calibri"/>
          <w:sz w:val="22"/>
          <w:szCs w:val="22"/>
        </w:rPr>
        <w:t>; ese saldo queda bajo los mínimos registrados. El consumo y el saldo se conservan como verificación en esta guía y en el JSON; B4 no los locuta. La cuenta, el artículo y los materiales son datos sintéticos del seed.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Los IDs de solicitud, cotización y pedido (incluidos números PED) se generan durante cada corrida y </w:t>
      </w:r>
      <w:r>
        <w:rPr>
          <w:rFonts w:ascii="Calibri" w:hAnsi="Calibri" w:eastAsia="Calibri" w:cs="Calibri"/>
          <w:sz w:val="22"/>
          <w:szCs w:val="22"/>
          <w:b/>
          <w:bCs/>
        </w:rPr>
        <w:t>no forman parte del guion</w:t>
      </w:r>
      <w:r>
        <w:rPr>
          <w:rFonts w:ascii="Calibri" w:hAnsi="Calibri" w:eastAsia="Calibri" w:cs="Calibri"/>
          <w:sz w:val="22"/>
          <w:szCs w:val="22"/>
        </w:rPr>
        <w:t>. No fijar en rótulos o locución los IDs concretos que aparecen en el registro de una ejecución.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Locución por clip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Las etiquetas, rótulos, acciones y notas no se leen. Los números de la locución se escriben como se pronuncian. Conteo: palabras habladas dentro de cada bloque LOC, tokens separados por espacios que contienen al menos una letra; se ignoran signos de puntuación. El desglose es explícito para facilitar la lectura por persona. Los delimitadores LOC son comentarios invisibles de Markdown para el conteo, no parte de la locución; al preparar Word, deben omitirse y no mostrarse como texto.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B1 — Persona1 — Cliente configura la solicitud (0:00–0:58)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Cliente Alfa, con sesión iniciada en Mi portal y sin solicitudes de esta historia.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Nueva solicitud → ART-001 → 2 gruesas → revisar la vista previa → teléfono y consentimiento → enviar → volver al portal.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solicitud Nueva, asociada a la cuenta del cliente; terminar con el listado visible y corte de 2 s.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84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Cliente Alfa entra a su portal, todavía sin solicitudes, y abre Nueva solicitud. Elige el cordón ART cero cero uno y pide dos gruesas, es decir, doscientos ochenta y ocho cordones. La vista previa calcula veintiún mil seiscientos pesos netos, cuatro mil quinientos treinta y seis de IVA y veintiséis mil ciento treinta y seis en total. Es una referencia, no una cotización formal. Completa su teléfono, acepta el uso de sus datos y envía. La solicitud aparece en su portal con estado Nueva.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B2 — Persona2 — Comercial convierte cotización en pedido (0:58–1:56)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Rodrigo, en Resumen, ve la solicitud Nueva de Cliente Alfa.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Preparar cotización; mantener 25 % de recargo y 7 días; crear, enviar propuesta, registrar aceptación y convertir en pedido.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mostrar pedido Pendiente con reservas 400/200 g y faltantes 176/88 g; transición de 2 s. No cambiar al portal del cliente dentro de este clip.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82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Rodrigo, de gestión comercial, ve en el resumen la solicitud nueva de Cliente Alfa y prepara la cotización con veinticinco por ciento de recargo sobre el costo y siete días de vigencia. Mientras es borrador, el cliente no la ve. Rodrigo envía la propuesta, registra la aceptación del cliente y la convierte en pedido. El sistema reserva los cuatrocientos gramos de hilado negro y los doscientos de alma disponibles, y marca faltantes de ciento setenta y seis y ochenta y ocho gramos.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B3 — Persona3 — Abastecimiento y plan (1:56–2:54)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Lorena, en Stock e insumos, ve el pedido y sus dos faltantes.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registrar 200 g de hilado negro y 100 g de alma negra; corte dentro del clip a Rodrigo, que asigna Máquina 04 y prioridad 1.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mostrar faltantes en cero, ingresos en Movimientos recientes y, tras el corte, reserva completa y plan guardado; transición de 2 s. El microrrótulo «Rodrigo · planificación» dura 1 s y está incluido en la ventana de acción.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78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El pedido de Cliente Alfa tiene faltantes de ciento setenta y seis gramos de hilado y ochenta y ocho de alma. Lorena, de administración, registra en stock un ingreso de doscientos gramos de hilado negro y otro de cien gramos de alma. Cada ingreso cubre primero el faltante más antiguo, y los faltantes quedan en cero. No se emite una orden de compra. Con la reserva completa, Rodrigo asigna la máquina cuatro con prioridad uno, la más urgente.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B4 — Persona4 — El operario produce y controla (2:54–3:52)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operario en Cola de producción; pedido Pendiente, Máquina 04 libre y reserva completa.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abrir la orden, iniciar producción, cargar 288 unidades acumuladas, marcar control de calidad aprobado y guardar.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pedido Listo y Calidad verificada; terminar en la UI del operario con transición de 2 s. El control es un registro manual, no una medición automática. El consumo y el saldo final de 24/12 g se confirman en C4 y el JSON, no se locutan ni se presentan como si aparecieran en esta pantalla.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77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El operario abre su cola de producción, agrupada por máquina y ordenada por prioridad. Primero en la máquina cuatro está el pedido de doscientos ochenta y ocho cordones, con reserva completa. Inicia la producción, que solo arranca con material reservado y máquina libre. Carga doscientas ochenta y ocho unidades acumuladas y registra el control de calidad aprobado, sin sensores automáticos. Al guardar, el pedido pasa a Listo, con el avance completo y el control de calidad registrado.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B5 — Persona5 — Cliente consulta pedido y avisos (3:52–4:50)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Cliente Alfa vuelve a Mi portal cuando el pedido ya está Listo.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mostrar 288/288 unidades, 100 % y Calidad verificada; bajar a Mis avisos y revisar los registros del pedido.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se ven los avisos registrados; dedicar los últimos 6 s al rótulo «Prototipo académico local · datos sintéticos · avisos registrados, sin envíos externos». Solo portal del cliente: no mostrar Bandeja de avisos interna ni afirmar que un mensaje fue enviado.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79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Cliente Alfa vuelve a su portal. En pedidos en curso ve su pedido Listo, doscientos ochenta y ocho de doscientas ochenta y ocho unidades, con calidad verificada. Se desplaza a Mis avisos y ve los eventos del pedido, como el inicio de producción y el pedido listo. Cada aviso figura como registrado. Quedó guardado en el sistema, sin envío de correo ni de mensajes. Así recorre un pedido completo, de la solicitud a la producción, con datos de prueba.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Conteo hablado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2834"/>
        <w:gridCol w:w="2834"/>
        <w:gridCol w:w="2836"/>
      </w:tblGrid>
      <w:tr>
        <w:trPr>
          <w:tblHeader w:val="true"/>
        </w:trPr>
        <w:tc>
          <w:tcPr>
            <w:tcW w:w="2834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Persona</w:t>
            </w:r>
          </w:p>
        </w:tc>
        <w:tc>
          <w:tcPr>
            <w:tcW w:w="2834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Bloque</w:t>
            </w:r>
          </w:p>
        </w:tc>
        <w:tc>
          <w:tcPr>
            <w:tcW w:w="2836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Palabras habladas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Persona1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B1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84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Persona2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B2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82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Persona3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B3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78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Persona4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B4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77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Persona5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B5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79</w:t>
            </w:r>
          </w:p>
        </w:tc>
      </w:tr>
      <w:tr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Total</w:t>
            </w:r>
          </w:p>
        </w:tc>
        <w:tc>
          <w:tcPr>
            <w:tcW w:w="2834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B1–B5</w:t>
            </w:r>
          </w:p>
        </w:tc>
        <w:tc>
          <w:tcPr>
            <w:tcW w:w="2836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400 (objetivo 380–420)</w:t>
            </w:r>
          </w:p>
        </w:tc>
      </w:tr>
    </w:tbl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Adaptación opcional para cuatro personas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No es la distribución principal y no cambia ni duplica texto: Persona1 presenta B1 y B5; Persona2 presenta B2; Persona3, B3; Persona4, B4. Cada clip conserva su propia entrada y cierre, aunque una misma voz reaparezca.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Límites de afirmación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«Aceptación» es el registro del flujo de demostración, no una aprobación real de Cliente Alfa.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«Calidad verificada» refleja la casilla que marca el operario al completar el total; no hay sensor ni ensayo físico automatizado.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«Registrada» describe persistencia local del aviso; no significa correo, WhatsApp ni otro envío externo.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La UI es una propuesta visual; este guion no afirma aprobación de usuarios, cumplimiento legal/accesibilidad, rendimiento medido ni uso productivo.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Los 290 s y los conteos son presupuesto editorial. Falta que el grupo lea en voz alta, ensaye con cronómetro, ajuste la edición y grabe el video real.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_rels/document.xml.rels><?xml version='1.0' encoding='utf-8'?>
<Relationships xmlns="http://schemas.openxmlformats.org/package/2006/relationships" 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2026-10-05T22:32:00Z</dcterms:created>
  <dc:creator>Abad Cancinos, Lucas Emir (Soporte Externo)</dc:creator>
  <dc:title>Guion de presentación — JACSA Gestión</dc:title>
</cp:coreProperties>
</file>