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Override PartName="/word/document.xml" ContentType="application/vnd.openxmlformats-officedocument.wordprocessingml.document.main+xml"/>
  <ns0:Override PartName="/docProps/core.xml" ContentType="application/vnd.openxmlformats-package.core-properties+xml"/>
</ns0: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p>
      <w:pPr>
        <w:spacing w:before="26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Registro de pruebas y evidencias del prototipo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Proyecto:</w:t>
      </w:r>
      <w:r>
        <w:rPr>
          <w:rFonts w:ascii="Calibri" w:hAnsi="Calibri" w:eastAsia="Calibri" w:cs="Calibri"/>
          <w:sz w:val="22"/>
          <w:szCs w:val="22"/>
        </w:rPr>
        <w:t xml:space="preserve"> JACSA Gestión — Sistema de Gestión de Pedidos </w:t>
      </w:r>
      <w:r>
        <w:rPr>
          <w:rFonts w:ascii="Calibri" w:hAnsi="Calibri" w:eastAsia="Calibri" w:cs="Calibri"/>
          <w:sz w:val="22"/>
          <w:szCs w:val="22"/>
          <w:b/>
          <w:bCs/>
        </w:rPr>
        <w:t>Fecha de la corrida reportada:</w:t>
      </w:r>
      <w:r>
        <w:rPr>
          <w:rFonts w:ascii="Calibri" w:hAnsi="Calibri" w:eastAsia="Calibri" w:cs="Calibri"/>
          <w:sz w:val="22"/>
          <w:szCs w:val="22"/>
        </w:rPr>
        <w:t xml:space="preserve"> 2026-10-27 </w:t>
      </w:r>
      <w:r>
        <w:rPr>
          <w:rFonts w:ascii="Calibri" w:hAnsi="Calibri" w:eastAsia="Calibri" w:cs="Calibri"/>
          <w:sz w:val="22"/>
          <w:szCs w:val="22"/>
          <w:b/>
          <w:bCs/>
        </w:rPr>
        <w:t>Versión de interfaz:</w:t>
      </w:r>
      <w:r>
        <w:rPr>
          <w:rFonts w:ascii="Calibri" w:hAnsi="Calibri" w:eastAsia="Calibri" w:cs="Calibri"/>
          <w:sz w:val="22"/>
          <w:szCs w:val="22"/>
        </w:rPr>
        <w:t xml:space="preserve"> 1.0.0 </w:t>
      </w:r>
      <w:r>
        <w:rPr>
          <w:rFonts w:ascii="Calibri" w:hAnsi="Calibri" w:eastAsia="Calibri" w:cs="Calibri"/>
          <w:sz w:val="22"/>
          <w:szCs w:val="22"/>
          <w:b/>
          <w:bCs/>
        </w:rPr>
        <w:t>Entorno:</w:t>
      </w:r>
      <w:r>
        <w:rPr>
          <w:rFonts w:ascii="Calibri" w:hAnsi="Calibri" w:eastAsia="Calibri" w:cs="Calibri"/>
          <w:sz w:val="22"/>
          <w:szCs w:val="22"/>
        </w:rPr>
        <w:t xml:space="preserve"> Node 24.13; React + TypeScript + Vite; API Express; SQLite local (</w:t>
      </w:r>
      <w:r>
        <w:rPr>
          <w:rFonts w:ascii="Calibri" w:hAnsi="Calibri" w:eastAsia="Calibri" w:cs="Calibri"/>
          <w:sz w:val="22"/>
          <w:szCs w:val="22"/>
        </w:rPr>
        <w:t>node:sqlite</w:t>
      </w:r>
      <w:r>
        <w:rPr>
          <w:rFonts w:ascii="Calibri" w:hAnsi="Calibri" w:eastAsia="Calibri" w:cs="Calibri"/>
          <w:sz w:val="22"/>
          <w:szCs w:val="22"/>
        </w:rPr>
        <w:t xml:space="preserve">, experimental). </w:t>
      </w:r>
      <w:r>
        <w:rPr>
          <w:rFonts w:ascii="Calibri" w:hAnsi="Calibri" w:eastAsia="Calibri" w:cs="Calibri"/>
          <w:sz w:val="22"/>
          <w:szCs w:val="22"/>
          <w:b/>
          <w:bCs/>
        </w:rPr>
        <w:t>Acceso de demo: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http://127.0.0.1:3001</w:t>
      </w:r>
      <w:r>
        <w:rPr>
          <w:rFonts w:ascii="Calibri" w:hAnsi="Calibri" w:eastAsia="Calibri" w:cs="Calibri"/>
          <w:sz w:val="22"/>
          <w:szCs w:val="22"/>
        </w:rPr>
        <w:t>, solo mientras el servicio local está iniciado. No hay URL pública.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1. Resultado de la corrida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1492"/>
        <w:gridCol w:w="2651"/>
        <w:gridCol w:w="4361"/>
      </w:tblGrid>
      <w:tr>
        <w:trPr>
          <w:tblHeader w:val="true"/>
        </w:trPr>
        <w:tc>
          <w:tcPr>
            <w:tcW w:w="1492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Verificación</w:t>
            </w:r>
          </w:p>
        </w:tc>
        <w:tc>
          <w:tcPr>
            <w:tcW w:w="2651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Comando o identificación registrada</w:t>
            </w:r>
          </w:p>
        </w:tc>
        <w:tc>
          <w:tcPr>
            <w:tcW w:w="4361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Resultado</w:t>
            </w:r>
          </w:p>
        </w:tc>
      </w:tr>
      <w:tr>
        <w:tc>
          <w:tcPr>
            <w:tcW w:w="1492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Build TypeScript/Vite</w:t>
            </w:r>
          </w:p>
        </w:tc>
        <w:tc>
          <w:tcPr>
            <w:tcW w:w="265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npm run build</w:t>
            </w:r>
          </w:p>
        </w:tc>
        <w:tc>
          <w:tcPr>
            <w:tcW w:w="436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Aprobado: TypeScript y Vite finalizaron correctamente.</w:t>
            </w:r>
          </w:p>
        </w:tc>
      </w:tr>
      <w:tr>
        <w:tc>
          <w:tcPr>
            <w:tcW w:w="1492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Backend/API</w:t>
            </w:r>
          </w:p>
        </w:tc>
        <w:tc>
          <w:tcPr>
            <w:tcW w:w="265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npm test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(desde 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prototipo/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)</w:t>
            </w:r>
          </w:p>
        </w:tc>
        <w:tc>
          <w:tcPr>
            <w:tcW w:w="436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33/33 aprobadas.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Repetidas por coordinación sobre la versión integrada final.</w:t>
            </w:r>
          </w:p>
        </w:tc>
      </w:tr>
      <w:tr>
        <w:tc>
          <w:tcPr>
            <w:tcW w:w="1492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E2E</w:t>
            </w:r>
          </w:p>
        </w:tc>
        <w:tc>
          <w:tcPr>
            <w:tcW w:w="265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npm run test:e2e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(desde 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prototipo/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)</w:t>
            </w:r>
          </w:p>
        </w:tc>
        <w:tc>
          <w:tcPr>
            <w:tcW w:w="436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5/5 aprobadas.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Repetidas por coordinación sobre la versión integrada final; Chromium, base temporal y cuatro contextos de sesión independientes.</w:t>
            </w:r>
          </w:p>
        </w:tc>
      </w:tr>
      <w:tr>
        <w:tc>
          <w:tcPr>
            <w:tcW w:w="1492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Pantalla móvil</w:t>
            </w:r>
          </w:p>
        </w:tc>
        <w:tc>
          <w:tcPr>
            <w:tcW w:w="265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Login, portal y cotizador configurados a 390 × 844 px</w:t>
            </w:r>
          </w:p>
        </w:tc>
        <w:tc>
          <w:tcPr>
            <w:tcW w:w="436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Etiquetas, foco y ausencia de desborde visible comprobados en el alcance de la corrida; no equivale a evaluación de usabilidad por una persona.</w:t>
            </w:r>
          </w:p>
        </w:tc>
      </w:tr>
      <w:tr>
        <w:tc>
          <w:tcPr>
            <w:tcW w:w="1492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Conversión de unidades (RNF09)</w:t>
            </w:r>
          </w:p>
        </w:tc>
        <w:tc>
          <w:tcPr>
            <w:tcW w:w="265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Valores de prueba 1, 144 y 200</w:t>
            </w:r>
          </w:p>
        </w:tc>
        <w:tc>
          <w:tcPr>
            <w:tcW w:w="436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Conversión funcional comprobada en esos casos. La equivalencia de negocio 100 pares = 200 unidades continúa siendo un supuesto documental, no una regla confirmada por JACSA.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Las suites corresponden a la corrida coordinada; no se afirma una prueba individual por cada requisito ni cobertura completa de cada RF. Los escenarios E-01–E-18 son documentación de expectativas y permanecen separados de estas pruebas automatizadas.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2. Recorrido y valores observados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La historia de demostración usa datos sintéticos del seed y una sola solicitud/pedido para ART-001: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1801"/>
        <w:gridCol w:w="1870"/>
        <w:gridCol w:w="4833"/>
      </w:tblGrid>
      <w:tr>
        <w:trPr>
          <w:tblHeader w:val="true"/>
        </w:trPr>
        <w:tc>
          <w:tcPr>
            <w:tcW w:w="1801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Paso / pantalla</w:t>
            </w:r>
          </w:p>
        </w:tc>
        <w:tc>
          <w:tcPr>
            <w:tcW w:w="1870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Evidencia visual</w:t>
            </w:r>
          </w:p>
        </w:tc>
        <w:tc>
          <w:tcPr>
            <w:tcW w:w="4833" w:type="dxa"/>
            <w:shd w:val="clear" w:fill="EAF0F6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Resultado observado o esperado en la corrida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Cotizador del portal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01cotizador.png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Cliente Alfa, ART-001, 2 gruesas = 288 unidades; neto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$21.600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, IVA 21%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$4.536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, total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$26.136 ARS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. La vista indica que es una estimación de demo, no cotización formal.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Cotización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02cotizacion.png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Propuesta del caso ART-001 por $26.136, recargo de demostración 25%, vigencia configurada de 7 días; estados del listado visibles.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Stock y faltantes iniciales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03stockfaltante.png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Físico inicial de hilado negro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400 g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y alma negra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200 g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; requeridos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576 g / 288 g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; faltantes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176 g / 88 g</w:t>
            </w:r>
            <w:r>
              <w:rPr>
                <w:rFonts w:ascii="Calibri" w:hAnsi="Calibri" w:eastAsia="Calibri" w:cs="Calibri"/>
                <w:sz w:val="20"/>
                <w:szCs w:val="20"/>
              </w:rPr>
              <w:t>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Pedido y planificación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04tableropedidos.png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El pedido de 288 unidades aparece en Pedidos, con Máquina 04 y prioridad visible.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Cola de producción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05operariocola.png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 xml:space="preserve">Pedido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Listo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, </w:t>
            </w:r>
            <w:r>
              <w:rPr>
                <w:rFonts w:ascii="Calibri" w:hAnsi="Calibri" w:eastAsia="Calibri" w:cs="Calibri"/>
                <w:sz w:val="20"/>
                <w:szCs w:val="20"/>
                <w:b/>
                <w:bCs/>
              </w:rPr>
              <w:t>288/288</w:t>
            </w:r>
            <w:r>
              <w:rPr>
                <w:rFonts w:ascii="Calibri" w:hAnsi="Calibri" w:eastAsia="Calibri" w:cs="Calibri"/>
                <w:sz w:val="20"/>
                <w:szCs w:val="20"/>
              </w:rPr>
              <w:t xml:space="preserve"> unidades, 100% de avance y control de calidad verificado.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Portal y avisos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06portalcliente.png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Se observa el pedido y tres avisos registrados: cotización enviada, En producción y Listo. Son registros internos, no mensajes enviados.</w:t>
            </w:r>
          </w:p>
        </w:tc>
      </w:tr>
      <w:tr>
        <w:tc>
          <w:tcPr>
            <w:tcW w:w="1801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Login móvil</w:t>
            </w:r>
          </w:p>
        </w:tc>
        <w:tc>
          <w:tcPr>
            <w:tcW w:w="1870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07mobilelogin.png</w:t>
            </w:r>
          </w:p>
        </w:tc>
        <w:tc>
          <w:tcPr>
            <w:tcW w:w="4833" w:type="dxa"/>
            <w:vAlign w:val="top"/>
          </w:tcPr>
          <w:p>
            <w:pPr>
              <w:spacing w:before="0" w:after="100" w:line="276" w:lineRule="auto"/>
            </w:pPr>
            <w:r>
              <w:rPr>
                <w:rFonts w:ascii="Calibri" w:hAnsi="Calibri" w:eastAsia="Calibri" w:cs="Calibri"/>
                <w:sz w:val="20"/>
                <w:szCs w:val="20"/>
              </w:rPr>
              <w:t>Login en configuración móvil 390 × 844 px; evidencia de pantalla, no prueba con usuario final.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Durante el recorrido se registró el ingreso de </w:t>
      </w:r>
      <w:r>
        <w:rPr>
          <w:rFonts w:ascii="Calibri" w:hAnsi="Calibri" w:eastAsia="Calibri" w:cs="Calibri"/>
          <w:sz w:val="22"/>
          <w:szCs w:val="22"/>
          <w:b/>
          <w:bCs/>
        </w:rPr>
        <w:t>200 g de hilado</w:t>
      </w:r>
      <w:r>
        <w:rPr>
          <w:rFonts w:ascii="Calibri" w:hAnsi="Calibri" w:eastAsia="Calibri" w:cs="Calibri"/>
          <w:sz w:val="22"/>
          <w:szCs w:val="22"/>
        </w:rPr>
        <w:t xml:space="preserve"> y </w:t>
      </w:r>
      <w:r>
        <w:rPr>
          <w:rFonts w:ascii="Calibri" w:hAnsi="Calibri" w:eastAsia="Calibri" w:cs="Calibri"/>
          <w:sz w:val="22"/>
          <w:szCs w:val="22"/>
          <w:b/>
          <w:bCs/>
        </w:rPr>
        <w:t>100 g de alma</w:t>
      </w:r>
      <w:r>
        <w:rPr>
          <w:rFonts w:ascii="Calibri" w:hAnsi="Calibri" w:eastAsia="Calibri" w:cs="Calibri"/>
          <w:sz w:val="22"/>
          <w:szCs w:val="22"/>
        </w:rPr>
        <w:t xml:space="preserve">. Con esa reposición se cubrieron los faltantes y, tras el consumo de </w:t>
      </w:r>
      <w:r>
        <w:rPr>
          <w:rFonts w:ascii="Calibri" w:hAnsi="Calibri" w:eastAsia="Calibri" w:cs="Calibri"/>
          <w:sz w:val="22"/>
          <w:szCs w:val="22"/>
          <w:b/>
          <w:bCs/>
        </w:rPr>
        <w:t>576 g / 288 g</w:t>
      </w:r>
      <w:r>
        <w:rPr>
          <w:rFonts w:ascii="Calibri" w:hAnsi="Calibri" w:eastAsia="Calibri" w:cs="Calibri"/>
          <w:sz w:val="22"/>
          <w:szCs w:val="22"/>
        </w:rPr>
        <w:t xml:space="preserve">, quedaron </w:t>
      </w:r>
      <w:r>
        <w:rPr>
          <w:rFonts w:ascii="Calibri" w:hAnsi="Calibri" w:eastAsia="Calibri" w:cs="Calibri"/>
          <w:sz w:val="22"/>
          <w:szCs w:val="22"/>
          <w:b/>
          <w:bCs/>
        </w:rPr>
        <w:t>24 g / 12 g</w:t>
      </w:r>
      <w:r>
        <w:rPr>
          <w:rFonts w:ascii="Calibri" w:hAnsi="Calibri" w:eastAsia="Calibri" w:cs="Calibri"/>
          <w:sz w:val="22"/>
          <w:szCs w:val="22"/>
        </w:rPr>
        <w:t xml:space="preserve"> respectivamente. Un cuarto evento de estado </w:t>
      </w:r>
      <w:r>
        <w:rPr>
          <w:rFonts w:ascii="Calibri" w:hAnsi="Calibri" w:eastAsia="Calibri" w:cs="Calibri"/>
          <w:sz w:val="22"/>
          <w:szCs w:val="22"/>
          <w:b/>
          <w:bCs/>
        </w:rPr>
        <w:t>Entregado</w:t>
      </w:r>
      <w:r>
        <w:rPr>
          <w:rFonts w:ascii="Calibri" w:hAnsi="Calibri" w:eastAsia="Calibri" w:cs="Calibri"/>
          <w:sz w:val="22"/>
          <w:szCs w:val="22"/>
        </w:rPr>
        <w:t xml:space="preserve"> fue probado en backend; no se presenta como parte de los tres avisos observados en el recorrido del portal.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Los pedidos seed adicionales corresponden a otros artículos y no consumen INS-NEGRO ni INS-ALMA. Las capturas son PNG reales del prototipo y se adjuntan, cada una en página propia, en los DOCX de entrega.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3. Cobertura funcional informada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Las pruebas automatizadas de esta corrida cubrieron comportamientos asociados con RF04, RF05, RF07, RF09, RF10, RF11, RF13, RF14, RF15, RF16, RF17, RF20, RF21, RF22 y RF26. La descripción detallada y los límites por requisito están en la tabla de resultados de 4.6 de </w:t>
      </w:r>
      <w:r>
        <w:rPr>
          <w:rFonts w:ascii="Calibri" w:hAnsi="Calibri" w:eastAsia="Calibri" w:cs="Calibri"/>
          <w:sz w:val="22"/>
          <w:szCs w:val="22"/>
        </w:rPr>
        <w:t>capitulo-4-validacion.md</w:t>
      </w:r>
      <w:r>
        <w:rPr>
          <w:rFonts w:ascii="Calibri" w:hAnsi="Calibri" w:eastAsia="Calibri" w:cs="Calibri"/>
          <w:sz w:val="22"/>
          <w:szCs w:val="22"/>
        </w:rPr>
        <w:t>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RF01/RF02 se usaron solo mediante lectura de catálogo/ficha seed; no se ejecutó CRUD completo. RF03, RF12, RF23, RF24, RF25 y RF27 no se deben presentar como requisitos completos validados por esta corrida. La historia visual muestra un subconjunto del comportamiento, no todos los casos límite o transiciones.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4. Límites explícitos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Los roles del recorrido son perfiles representados en el prototipo; no son usuarios/personas de JACSA ni una aprobación del negocio. No hubo entrevistas, firmas, actas ni sesiones de usabilidad.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Las comprobaciones de seguridad reportadas son básicas. No constituyen auditoría, certificación ni evaluación formal exhaustiva.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No se instrumentó latencia; no se afirma el umbral RNF05 de tres segundos. No se observó operación durante un mes y no se afirma el 99% de disponibilidad RNF06.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La verificación móvil se limita a login/portal/cotizador en 390 × 844 px; no se afirma cobertura responsive total ni que RNF01 cumpla el criterio de tres toques.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El consentimiento del portal y el uso de datos sintéticos no prueban cumplimiento integral de Ley 25.326; no hay dictamen legal.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No se enviaron correos/WhatsApp reales. No hay exposición pública del servicio ni datos productivos.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La compilación y las suites aprobadas no equivalen a aceptación formal de RF/RNF ni extienden el alcance a RF23/RF24/RF25/RF27.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5. Capturas adjuntas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1. </w:t>
      </w:r>
      <w:r>
        <w:rPr>
          <w:rFonts w:ascii="Calibri" w:hAnsi="Calibri" w:eastAsia="Calibri" w:cs="Calibri"/>
          <w:sz w:val="22"/>
          <w:szCs w:val="22"/>
        </w:rPr>
        <w:t>01cotizador.png</w:t>
      </w:r>
      <w:r>
        <w:rPr>
          <w:rFonts w:ascii="Calibri" w:hAnsi="Calibri" w:eastAsia="Calibri" w:cs="Calibri"/>
          <w:sz w:val="22"/>
          <w:szCs w:val="22"/>
        </w:rPr>
        <w:t xml:space="preserve"> — portal, solicitud y estimación.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2. </w:t>
      </w:r>
      <w:r>
        <w:rPr>
          <w:rFonts w:ascii="Calibri" w:hAnsi="Calibri" w:eastAsia="Calibri" w:cs="Calibri"/>
          <w:sz w:val="22"/>
          <w:szCs w:val="22"/>
        </w:rPr>
        <w:t>02cotizacion.png</w:t>
      </w:r>
      <w:r>
        <w:rPr>
          <w:rFonts w:ascii="Calibri" w:hAnsi="Calibri" w:eastAsia="Calibri" w:cs="Calibri"/>
          <w:sz w:val="22"/>
          <w:szCs w:val="22"/>
        </w:rPr>
        <w:t xml:space="preserve"> — propuestas y acciones comerciales.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3. </w:t>
      </w:r>
      <w:r>
        <w:rPr>
          <w:rFonts w:ascii="Calibri" w:hAnsi="Calibri" w:eastAsia="Calibri" w:cs="Calibri"/>
          <w:sz w:val="22"/>
          <w:szCs w:val="22"/>
        </w:rPr>
        <w:t>03stockfaltante.png</w:t>
      </w:r>
      <w:r>
        <w:rPr>
          <w:rFonts w:ascii="Calibri" w:hAnsi="Calibri" w:eastAsia="Calibri" w:cs="Calibri"/>
          <w:sz w:val="22"/>
          <w:szCs w:val="22"/>
        </w:rPr>
        <w:t xml:space="preserve"> — stock, reservas y faltantes.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4. </w:t>
      </w:r>
      <w:r>
        <w:rPr>
          <w:rFonts w:ascii="Calibri" w:hAnsi="Calibri" w:eastAsia="Calibri" w:cs="Calibri"/>
          <w:sz w:val="22"/>
          <w:szCs w:val="22"/>
        </w:rPr>
        <w:t>04tableropedidos.png</w:t>
      </w:r>
      <w:r>
        <w:rPr>
          <w:rFonts w:ascii="Calibri" w:hAnsi="Calibri" w:eastAsia="Calibri" w:cs="Calibri"/>
          <w:sz w:val="22"/>
          <w:szCs w:val="22"/>
        </w:rPr>
        <w:t xml:space="preserve"> — pedidos y planificación.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5. </w:t>
      </w:r>
      <w:r>
        <w:rPr>
          <w:rFonts w:ascii="Calibri" w:hAnsi="Calibri" w:eastAsia="Calibri" w:cs="Calibri"/>
          <w:sz w:val="22"/>
          <w:szCs w:val="22"/>
        </w:rPr>
        <w:t>05operariocola.png</w:t>
      </w:r>
      <w:r>
        <w:rPr>
          <w:rFonts w:ascii="Calibri" w:hAnsi="Calibri" w:eastAsia="Calibri" w:cs="Calibri"/>
          <w:sz w:val="22"/>
          <w:szCs w:val="22"/>
        </w:rPr>
        <w:t xml:space="preserve"> — cola, avance y estado Listo.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6. </w:t>
      </w:r>
      <w:r>
        <w:rPr>
          <w:rFonts w:ascii="Calibri" w:hAnsi="Calibri" w:eastAsia="Calibri" w:cs="Calibri"/>
          <w:sz w:val="22"/>
          <w:szCs w:val="22"/>
        </w:rPr>
        <w:t>06portalcliente.png</w:t>
      </w:r>
      <w:r>
        <w:rPr>
          <w:rFonts w:ascii="Calibri" w:hAnsi="Calibri" w:eastAsia="Calibri" w:cs="Calibri"/>
          <w:sz w:val="22"/>
          <w:szCs w:val="22"/>
        </w:rPr>
        <w:t xml:space="preserve"> — portal y avisos registrados.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7. </w:t>
      </w:r>
      <w:r>
        <w:rPr>
          <w:rFonts w:ascii="Calibri" w:hAnsi="Calibri" w:eastAsia="Calibri" w:cs="Calibri"/>
          <w:sz w:val="22"/>
          <w:szCs w:val="22"/>
        </w:rPr>
        <w:t>07mobilelogin.png</w:t>
      </w:r>
      <w:r>
        <w:rPr>
          <w:rFonts w:ascii="Calibri" w:hAnsi="Calibri" w:eastAsia="Calibri" w:cs="Calibri"/>
          <w:sz w:val="22"/>
          <w:szCs w:val="22"/>
        </w:rPr>
        <w:t xml:space="preserve"> — login en configuración móvil.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Adenda de cierre técnico — 2026-10-30 UTC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Esta adenda conserva el registro original del 2026-10-27 y actualiza su estado a partir del cierre integrado informado por coordinación. Las cifras anteriores </w:t>
      </w:r>
      <w:r>
        <w:rPr>
          <w:rFonts w:ascii="Calibri" w:hAnsi="Calibri" w:eastAsia="Calibri" w:cs="Calibri"/>
          <w:sz w:val="22"/>
          <w:szCs w:val="22"/>
          <w:b/>
          <w:bCs/>
        </w:rPr>
        <w:t>33/33 backend y 5/5 E2E</w:t>
      </w:r>
      <w:r>
        <w:rPr>
          <w:rFonts w:ascii="Calibri" w:hAnsi="Calibri" w:eastAsia="Calibri" w:cs="Calibri"/>
          <w:sz w:val="22"/>
          <w:szCs w:val="22"/>
        </w:rPr>
        <w:t xml:space="preserve"> pertenecen a esa corrida histórica; el cierre más reciente informado es </w:t>
      </w:r>
      <w:r>
        <w:rPr>
          <w:rFonts w:ascii="Calibri" w:hAnsi="Calibri" w:eastAsia="Calibri" w:cs="Calibri"/>
          <w:sz w:val="22"/>
          <w:szCs w:val="22"/>
          <w:b/>
          <w:bCs/>
        </w:rPr>
        <w:t>48/48 backend/API</w:t>
      </w:r>
      <w:r>
        <w:rPr>
          <w:rFonts w:ascii="Calibri" w:hAnsi="Calibri" w:eastAsia="Calibri" w:cs="Calibri"/>
          <w:sz w:val="22"/>
          <w:szCs w:val="22"/>
        </w:rPr>
        <w:t xml:space="preserve">, </w:t>
      </w:r>
      <w:r>
        <w:rPr>
          <w:rFonts w:ascii="Calibri" w:hAnsi="Calibri" w:eastAsia="Calibri" w:cs="Calibri"/>
          <w:sz w:val="22"/>
          <w:szCs w:val="22"/>
          <w:b/>
          <w:bCs/>
        </w:rPr>
        <w:t>build correcto con 1594 módulos</w:t>
      </w:r>
      <w:r>
        <w:rPr>
          <w:rFonts w:ascii="Calibri" w:hAnsi="Calibri" w:eastAsia="Calibri" w:cs="Calibri"/>
          <w:sz w:val="22"/>
          <w:szCs w:val="22"/>
        </w:rPr>
        <w:t xml:space="preserve">, </w:t>
      </w:r>
      <w:r>
        <w:rPr>
          <w:rFonts w:ascii="Calibri" w:hAnsi="Calibri" w:eastAsia="Calibri" w:cs="Calibri"/>
          <w:sz w:val="22"/>
          <w:szCs w:val="22"/>
          <w:b/>
          <w:bCs/>
        </w:rPr>
        <w:t>50/50 E2E</w:t>
      </w:r>
      <w:r>
        <w:rPr>
          <w:rFonts w:ascii="Calibri" w:hAnsi="Calibri" w:eastAsia="Calibri" w:cs="Calibri"/>
          <w:sz w:val="22"/>
          <w:szCs w:val="22"/>
        </w:rPr>
        <w:t xml:space="preserve"> (27 casos de navegador/UI y 23 API-only) y </w:t>
      </w:r>
      <w:r>
        <w:rPr>
          <w:rFonts w:ascii="Calibri" w:hAnsi="Calibri" w:eastAsia="Calibri" w:cs="Calibri"/>
          <w:sz w:val="22"/>
          <w:szCs w:val="22"/>
          <w:b/>
          <w:bCs/>
        </w:rPr>
        <w:t>3/3 harness</w:t>
      </w:r>
      <w:r>
        <w:rPr>
          <w:rFonts w:ascii="Calibri" w:hAnsi="Calibri" w:eastAsia="Calibri" w:cs="Calibri"/>
          <w:sz w:val="22"/>
          <w:szCs w:val="22"/>
        </w:rPr>
        <w:t xml:space="preserve">. La corrida completa registrada usó el puerto 3182 y base temporal privada. Coordinación también comunicó una repetición posterior de </w:t>
      </w:r>
      <w:r>
        <w:rPr>
          <w:rFonts w:ascii="Calibri" w:hAnsi="Calibri" w:eastAsia="Calibri" w:cs="Calibri"/>
          <w:sz w:val="22"/>
          <w:szCs w:val="22"/>
          <w:b/>
          <w:bCs/>
        </w:rPr>
        <w:t>50/50 en el puerto 3183</w:t>
      </w:r>
      <w:r>
        <w:rPr>
          <w:rFonts w:ascii="Calibri" w:hAnsi="Calibri" w:eastAsia="Calibri" w:cs="Calibri"/>
          <w:sz w:val="22"/>
          <w:szCs w:val="22"/>
        </w:rPr>
        <w:t xml:space="preserve">; se consigna como reporte de coordinación, no como una ejecución independiente de esta adenda. No se volvió a ejecutar la aplicación para actualizar este registro. El detalle y los límites de la corrida aceptada siguen en </w:t>
      </w:r>
      <w:r>
        <w:rPr>
          <w:rFonts w:ascii="Calibri" w:hAnsi="Calibri" w:eastAsia="Calibri" w:cs="Calibri"/>
          <w:sz w:val="22"/>
          <w:szCs w:val="22"/>
        </w:rPr>
        <w:t>`qa-final.md` (qa-final.md)</w:t>
      </w:r>
      <w:r>
        <w:rPr>
          <w:rFonts w:ascii="Calibri" w:hAnsi="Calibri" w:eastAsia="Calibri" w:cs="Calibri"/>
          <w:sz w:val="22"/>
          <w:szCs w:val="22"/>
        </w:rPr>
        <w:t xml:space="preserve">; el JSON </w:t>
      </w:r>
      <w:r>
        <w:rPr>
          <w:rFonts w:ascii="Calibri" w:hAnsi="Calibri" w:eastAsia="Calibri" w:cs="Calibri"/>
          <w:sz w:val="22"/>
          <w:szCs w:val="22"/>
        </w:rPr>
        <w:t>validation.json</w:t>
      </w:r>
      <w:r>
        <w:rPr>
          <w:rFonts w:ascii="Calibri" w:hAnsi="Calibri" w:eastAsia="Calibri" w:cs="Calibri"/>
          <w:sz w:val="22"/>
          <w:szCs w:val="22"/>
        </w:rPr>
        <w:t xml:space="preserve"> y el historial de resultados no se alteran.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Observaciones puntuales comunicadas por coordinación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  <w:b/>
          <w:bCs/>
        </w:rPr>
        <w:t>F18 — Catálogo interno:</w:t>
      </w:r>
      <w:r>
        <w:rPr>
          <w:rFonts w:ascii="Calibri" w:hAnsi="Calibri" w:eastAsia="Calibri" w:cs="Calibri"/>
          <w:sz w:val="22"/>
          <w:szCs w:val="22"/>
        </w:rPr>
        <w:t xml:space="preserve"> se conserva la revisión Chromium headless con </w:t>
      </w:r>
      <w:r>
        <w:rPr>
          <w:rFonts w:ascii="Calibri" w:hAnsi="Calibri" w:eastAsia="Calibri" w:cs="Calibri"/>
          <w:sz w:val="22"/>
          <w:szCs w:val="22"/>
        </w:rPr>
        <w:t>createApp</w:t>
      </w:r>
      <w:r>
        <w:rPr>
          <w:rFonts w:ascii="Calibri" w:hAnsi="Calibri" w:eastAsia="Calibri" w:cs="Calibri"/>
          <w:sz w:val="22"/>
          <w:szCs w:val="22"/>
        </w:rPr>
        <w:t xml:space="preserve">, SQLite </w:t>
      </w:r>
      <w:r>
        <w:rPr>
          <w:rFonts w:ascii="Calibri" w:hAnsi="Calibri" w:eastAsia="Calibri" w:cs="Calibri"/>
          <w:sz w:val="22"/>
          <w:szCs w:val="22"/>
        </w:rPr>
        <w:t>:memory:</w:t>
      </w:r>
      <w:r>
        <w:rPr>
          <w:rFonts w:ascii="Calibri" w:hAnsi="Calibri" w:eastAsia="Calibri" w:cs="Calibri"/>
          <w:sz w:val="22"/>
          <w:szCs w:val="22"/>
        </w:rPr>
        <w:t xml:space="preserve"> y </w:t>
      </w:r>
      <w:r>
        <w:rPr>
          <w:rFonts w:ascii="Calibri" w:hAnsi="Calibri" w:eastAsia="Calibri" w:cs="Calibri"/>
          <w:sz w:val="22"/>
          <w:szCs w:val="22"/>
        </w:rPr>
        <w:t>listen(0)</w:t>
      </w:r>
      <w:r>
        <w:rPr>
          <w:rFonts w:ascii="Calibri" w:hAnsi="Calibri" w:eastAsia="Calibri" w:cs="Calibri"/>
          <w:sz w:val="22"/>
          <w:szCs w:val="22"/>
        </w:rPr>
        <w:t xml:space="preserve">: login </w:t>
      </w:r>
      <w:r>
        <w:rPr>
          <w:rFonts w:ascii="Calibri" w:hAnsi="Calibri" w:eastAsia="Calibri" w:cs="Calibri"/>
          <w:sz w:val="22"/>
          <w:szCs w:val="22"/>
        </w:rPr>
        <w:t>rodrigo</w:t>
      </w:r>
      <w:r>
        <w:rPr>
          <w:rFonts w:ascii="Calibri" w:hAnsi="Calibri" w:eastAsia="Calibri" w:cs="Calibri"/>
          <w:sz w:val="22"/>
          <w:szCs w:val="22"/>
        </w:rPr>
        <w:t xml:space="preserve">, 3 tarjetas iniciales; filtro ART-001 deja 1 tarjeta (costo 60 y BOM de 2 g de hilado negro); búsqueda vacía y limpieza restauran el catálogo. Sin </w:t>
      </w:r>
      <w:r>
        <w:rPr>
          <w:rFonts w:ascii="Calibri" w:hAnsi="Calibri" w:eastAsia="Calibri" w:cs="Calibri"/>
          <w:sz w:val="22"/>
          <w:szCs w:val="22"/>
        </w:rPr>
        <w:t>pageerror</w:t>
      </w:r>
      <w:r>
        <w:rPr>
          <w:rFonts w:ascii="Calibri" w:hAnsi="Calibri" w:eastAsia="Calibri" w:cs="Calibri"/>
          <w:sz w:val="22"/>
          <w:szCs w:val="22"/>
        </w:rPr>
        <w:t>, limpieza completa. Fue una observación puntual, fuera de la suite, sin captura y sin E2E persistente.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  <w:b/>
          <w:bCs/>
        </w:rPr>
        <w:t>F17 — Métrica de pedidos demorados (reporte 2026-10-30 UTC):</w:t>
      </w:r>
      <w:r>
        <w:rPr>
          <w:rFonts w:ascii="Calibri" w:hAnsi="Calibri" w:eastAsia="Calibri" w:cs="Calibri"/>
          <w:sz w:val="22"/>
          <w:szCs w:val="22"/>
        </w:rPr>
        <w:t xml:space="preserve"> coordinación informó una instancia privada temporal con </w:t>
      </w:r>
      <w:r>
        <w:rPr>
          <w:rFonts w:ascii="Calibri" w:hAnsi="Calibri" w:eastAsia="Calibri" w:cs="Calibri"/>
          <w:sz w:val="22"/>
          <w:szCs w:val="22"/>
        </w:rPr>
        <w:t>createApp</w:t>
      </w:r>
      <w:r>
        <w:rPr>
          <w:rFonts w:ascii="Calibri" w:hAnsi="Calibri" w:eastAsia="Calibri" w:cs="Calibri"/>
          <w:sz w:val="22"/>
          <w:szCs w:val="22"/>
        </w:rPr>
        <w:t xml:space="preserve"> y SQLite temporal; un pedido quedó con fecha de entrega de </w:t>
      </w:r>
      <w:r>
        <w:rPr>
          <w:rFonts w:ascii="Calibri" w:hAnsi="Calibri" w:eastAsia="Calibri" w:cs="Calibri"/>
          <w:sz w:val="22"/>
          <w:szCs w:val="22"/>
          <w:b/>
          <w:bCs/>
        </w:rPr>
        <w:t>ayer</w:t>
      </w:r>
      <w:r>
        <w:rPr>
          <w:rFonts w:ascii="Calibri" w:hAnsi="Calibri" w:eastAsia="Calibri" w:cs="Calibri"/>
          <w:sz w:val="22"/>
          <w:szCs w:val="22"/>
        </w:rPr>
        <w:t xml:space="preserve"> por una </w:t>
      </w:r>
      <w:r>
        <w:rPr>
          <w:rFonts w:ascii="Calibri" w:hAnsi="Calibri" w:eastAsia="Calibri" w:cs="Calibri"/>
          <w:sz w:val="22"/>
          <w:szCs w:val="22"/>
          <w:b/>
          <w:bCs/>
        </w:rPr>
        <w:t>fixture automatizada únicamente</w:t>
      </w:r>
      <w:r>
        <w:rPr>
          <w:rFonts w:ascii="Calibri" w:hAnsi="Calibri" w:eastAsia="Calibri" w:cs="Calibri"/>
          <w:sz w:val="22"/>
          <w:szCs w:val="22"/>
        </w:rPr>
        <w:t xml:space="preserve">. En Chromium headless, login de </w:t>
      </w:r>
      <w:r>
        <w:rPr>
          <w:rFonts w:ascii="Calibri" w:hAnsi="Calibri" w:eastAsia="Calibri" w:cs="Calibri"/>
          <w:sz w:val="22"/>
          <w:szCs w:val="22"/>
        </w:rPr>
        <w:t>lorena</w:t>
      </w:r>
      <w:r>
        <w:rPr>
          <w:rFonts w:ascii="Calibri" w:hAnsi="Calibri" w:eastAsia="Calibri" w:cs="Calibri"/>
          <w:sz w:val="22"/>
          <w:szCs w:val="22"/>
        </w:rPr>
        <w:t xml:space="preserve"> → Resumen mostró </w:t>
      </w:r>
      <w:r>
        <w:rPr>
          <w:rFonts w:ascii="Calibri" w:hAnsi="Calibri" w:eastAsia="Calibri" w:cs="Calibri"/>
          <w:sz w:val="22"/>
          <w:szCs w:val="22"/>
        </w:rPr>
        <w:t>Pedidos demorados</w:t>
      </w:r>
      <w:r>
        <w:rPr>
          <w:rFonts w:ascii="Calibri" w:hAnsi="Calibri" w:eastAsia="Calibri" w:cs="Calibri"/>
          <w:sz w:val="22"/>
          <w:szCs w:val="22"/>
        </w:rPr>
        <w:t xml:space="preserve"> con </w:t>
      </w:r>
      <w:r>
        <w:rPr>
          <w:rFonts w:ascii="Calibri" w:hAnsi="Calibri" w:eastAsia="Calibri" w:cs="Calibri"/>
          <w:sz w:val="22"/>
          <w:szCs w:val="22"/>
        </w:rPr>
        <w:t>metric-value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  <w:b/>
          <w:bCs/>
        </w:rPr>
        <w:t>1</w:t>
      </w:r>
      <w:r>
        <w:rPr>
          <w:rFonts w:ascii="Calibri" w:hAnsi="Calibri" w:eastAsia="Calibri" w:cs="Calibri"/>
          <w:sz w:val="22"/>
          <w:szCs w:val="22"/>
        </w:rPr>
        <w:t xml:space="preserve"> y detalle de </w:t>
      </w:r>
      <w:r>
        <w:rPr>
          <w:rFonts w:ascii="Calibri" w:hAnsi="Calibri" w:eastAsia="Calibri" w:cs="Calibri"/>
          <w:sz w:val="22"/>
          <w:szCs w:val="22"/>
          <w:b/>
          <w:bCs/>
        </w:rPr>
        <w:t>fecha vencida</w:t>
      </w:r>
      <w:r>
        <w:rPr>
          <w:rFonts w:ascii="Calibri" w:hAnsi="Calibri" w:eastAsia="Calibri" w:cs="Calibri"/>
          <w:sz w:val="22"/>
          <w:szCs w:val="22"/>
        </w:rPr>
        <w:t xml:space="preserve">. La comprobación API </w:t>
      </w:r>
      <w:r>
        <w:rPr>
          <w:rFonts w:ascii="Calibri" w:hAnsi="Calibri" w:eastAsia="Calibri" w:cs="Calibri"/>
          <w:sz w:val="22"/>
          <w:szCs w:val="22"/>
        </w:rPr>
        <w:t>orders.filter(delayed).length</w:t>
      </w:r>
      <w:r>
        <w:rPr>
          <w:rFonts w:ascii="Calibri" w:hAnsi="Calibri" w:eastAsia="Calibri" w:cs="Calibri"/>
          <w:sz w:val="22"/>
          <w:szCs w:val="22"/>
        </w:rPr>
        <w:t xml:space="preserve"> también dio </w:t>
      </w:r>
      <w:r>
        <w:rPr>
          <w:rFonts w:ascii="Calibri" w:hAnsi="Calibri" w:eastAsia="Calibri" w:cs="Calibri"/>
          <w:sz w:val="22"/>
          <w:szCs w:val="22"/>
          <w:b/>
          <w:bCs/>
        </w:rPr>
        <w:t>1</w:t>
      </w:r>
      <w:r>
        <w:rPr>
          <w:rFonts w:ascii="Calibri" w:hAnsi="Calibri" w:eastAsia="Calibri" w:cs="Calibri"/>
          <w:sz w:val="22"/>
          <w:szCs w:val="22"/>
        </w:rPr>
        <w:t xml:space="preserve">; hubo </w:t>
      </w:r>
      <w:r>
        <w:rPr>
          <w:rFonts w:ascii="Calibri" w:hAnsi="Calibri" w:eastAsia="Calibri" w:cs="Calibri"/>
          <w:sz w:val="22"/>
          <w:szCs w:val="22"/>
          <w:b/>
          <w:bCs/>
        </w:rPr>
        <w:t>cero errores JavaScript (</w:t>
      </w:r>
      <w:r>
        <w:rPr>
          <w:rFonts w:ascii="Calibri" w:hAnsi="Calibri" w:eastAsia="Calibri" w:cs="Calibri"/>
          <w:sz w:val="22"/>
          <w:szCs w:val="22"/>
          <w:b/>
          <w:bCs/>
        </w:rPr>
        <w:t>pageerror</w:t>
      </w:r>
      <w:r>
        <w:rPr>
          <w:rFonts w:ascii="Calibri" w:hAnsi="Calibri" w:eastAsia="Calibri" w:cs="Calibri"/>
          <w:sz w:val="22"/>
          <w:szCs w:val="22"/>
          <w:b/>
          <w:bCs/>
        </w:rPr>
        <w:t>)</w:t>
      </w:r>
      <w:r>
        <w:rPr>
          <w:rFonts w:ascii="Calibri" w:hAnsi="Calibri" w:eastAsia="Calibri" w:cs="Calibri"/>
          <w:sz w:val="22"/>
          <w:szCs w:val="22"/>
        </w:rPr>
        <w:t xml:space="preserve"> y limpieza completa. No se informó captura. Es una observación técnica puntual fuera de la suite, no un E2E persistente ni una nueva cobertura general del F17.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Ambas observaciones se atribuyen a coordinación; no modifican el resultado histórico de suites ni acreditan aceptación de usuarios. La adenda no edita </w:t>
      </w:r>
      <w:r>
        <w:rPr>
          <w:rFonts w:ascii="Calibri" w:hAnsi="Calibri" w:eastAsia="Calibri" w:cs="Calibri"/>
          <w:sz w:val="22"/>
          <w:szCs w:val="22"/>
        </w:rPr>
        <w:t>evidencias/qa-final/validation.json</w:t>
      </w:r>
      <w:r>
        <w:rPr>
          <w:rFonts w:ascii="Calibri" w:hAnsi="Calibri" w:eastAsia="Calibri" w:cs="Calibri"/>
          <w:sz w:val="22"/>
          <w:szCs w:val="22"/>
        </w:rPr>
        <w:t xml:space="preserve"> ni </w:t>
      </w:r>
      <w:r>
        <w:rPr>
          <w:rFonts w:ascii="Calibri" w:hAnsi="Calibri" w:eastAsia="Calibri" w:cs="Calibri"/>
          <w:sz w:val="22"/>
          <w:szCs w:val="22"/>
        </w:rPr>
        <w:t>rehearsal.json</w:t>
      </w:r>
      <w:r>
        <w:rPr>
          <w:rFonts w:ascii="Calibri" w:hAnsi="Calibri" w:eastAsia="Calibri" w:cs="Calibri"/>
          <w:sz w:val="22"/>
          <w:szCs w:val="22"/>
        </w:rPr>
        <w:t>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Anexo visual — capturas del prototipo</w:t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01 — 01cotizador.png</w:t>
      </w:r>
    </w:p>
    <w:p>
      <w:pPr>
        <w:jc w:val="center"/>
      </w:pPr>
      <w:r>
        <w:drawing>
          <ns1:inline distT="0" distB="0" distL="0" distR="0">
            <ns1:extent cx="5400040" cy="5723307"/>
            <ns1:effectExtent l="0" t="0" r="0" b="0"/>
            <ns1:docPr id="22" name="01cotizador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2" name="01cotizador.png"/>
                    <ns3:cNvPicPr>
                      <ns2:picLocks noChangeAspect="1"/>
                    </ns3:cNvPicPr>
                  </ns3:nvPicPr>
                  <ns3:blipFill>
                    <ns2:blip r:embed="rId29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5723307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02 — 02cotizacion.png</w:t>
      </w:r>
    </w:p>
    <w:p>
      <w:pPr>
        <w:jc w:val="center"/>
      </w:pPr>
      <w:r>
        <w:drawing>
          <ns1:inline distT="0" distB="0" distL="0" distR="0">
            <ns1:extent cx="5400040" cy="4382481"/>
            <ns1:effectExtent l="0" t="0" r="0" b="0"/>
            <ns1:docPr id="23" name="02cotizacion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3" name="02cotizacion.png"/>
                    <ns3:cNvPicPr>
                      <ns2:picLocks noChangeAspect="1"/>
                    </ns3:cNvPicPr>
                  </ns3:nvPicPr>
                  <ns3:blipFill>
                    <ns2:blip r:embed="rId30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4382481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03 — 03stockfaltante.png</w:t>
      </w:r>
    </w:p>
    <w:p>
      <w:pPr>
        <w:jc w:val="center"/>
      </w:pPr>
      <w:r>
        <w:drawing>
          <ns1:inline distT="0" distB="0" distL="0" distR="0">
            <ns1:extent cx="5400040" cy="4481665"/>
            <ns1:effectExtent l="0" t="0" r="0" b="0"/>
            <ns1:docPr id="24" name="03stockfaltante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4" name="03stockfaltante.png"/>
                    <ns3:cNvPicPr>
                      <ns2:picLocks noChangeAspect="1"/>
                    </ns3:cNvPicPr>
                  </ns3:nvPicPr>
                  <ns3:blipFill>
                    <ns2:blip r:embed="rId3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4481665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04 — 04tableropedidos.png</w:t>
      </w:r>
    </w:p>
    <w:p>
      <w:pPr>
        <w:jc w:val="center"/>
      </w:pPr>
      <w:r>
        <w:drawing>
          <ns1:inline distT="0" distB="0" distL="0" distR="0">
            <ns1:extent cx="5400040" cy="3673496"/>
            <ns1:effectExtent l="0" t="0" r="0" b="0"/>
            <ns1:docPr id="25" name="04tableropedidos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5" name="04tableropedidos.png"/>
                    <ns3:cNvPicPr>
                      <ns2:picLocks noChangeAspect="1"/>
                    </ns3:cNvPicPr>
                  </ns3:nvPicPr>
                  <ns3:blipFill>
                    <ns2:blip r:embed="rId3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3673496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05 — 05operariocola.png</w:t>
      </w:r>
    </w:p>
    <w:p>
      <w:pPr>
        <w:jc w:val="center"/>
      </w:pPr>
      <w:r>
        <w:drawing>
          <ns1:inline distT="0" distB="0" distL="0" distR="0">
            <ns1:extent cx="5400040" cy="4004111"/>
            <ns1:effectExtent l="0" t="0" r="0" b="0"/>
            <ns1:docPr id="26" name="05operariocola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6" name="05operariocola.png"/>
                    <ns3:cNvPicPr>
                      <ns2:picLocks noChangeAspect="1"/>
                    </ns3:cNvPicPr>
                  </ns3:nvPicPr>
                  <ns3:blipFill>
                    <ns2:blip r:embed="rId3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4004111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06 — 06portalcliente.png</w:t>
      </w:r>
    </w:p>
    <w:p>
      <w:pPr>
        <w:jc w:val="center"/>
      </w:pPr>
      <w:r>
        <w:drawing>
          <ns1:inline distT="0" distB="0" distL="0" distR="0">
            <ns1:extent cx="5400040" cy="5385346"/>
            <ns1:effectExtent l="0" t="0" r="0" b="0"/>
            <ns1:docPr id="27" name="06portalcliente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7" name="06portalcliente.png"/>
                    <ns3:cNvPicPr>
                      <ns2:picLocks noChangeAspect="1"/>
                    </ns3:cNvPicPr>
                  </ns3:nvPicPr>
                  <ns3:blipFill>
                    <ns2:blip r:embed="rId3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400040" cy="5385346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p>
      <w:r>
        <w:br w:type="page"/>
      </w:r>
    </w:p>
    <w:p>
      <w:pPr>
        <w:jc w:val="center"/>
      </w:pPr>
      <w:r>
        <w:rPr>
          <w:rFonts w:ascii="Calibri" w:hAnsi="Calibri" w:eastAsia="Calibri" w:cs="Calibri"/>
          <w:sz w:val="20"/>
          <w:szCs w:val="20"/>
          <w:b/>
          <w:bCs/>
        </w:rPr>
        <w:t>Captura 07 — 07mobilelogin.png</w:t>
      </w:r>
    </w:p>
    <w:p>
      <w:pPr>
        <w:jc w:val="center"/>
      </w:pPr>
      <w:r>
        <w:drawing>
          <ns1:inline distT="0" distB="0" distL="0" distR="0">
            <ns1:extent cx="2526997" cy="6000000"/>
            <ns1:effectExtent l="0" t="0" r="0" b="0"/>
            <ns1:docPr id="28" name="07mobilelogin.png" descr="Captura local del prototipo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28" name="07mobilelogin.png"/>
                    <ns3:cNvPicPr>
                      <ns2:picLocks noChangeAspect="1"/>
                    </ns3:cNvPicPr>
                  </ns3:nvPicPr>
                  <ns3:blipFill>
                    <ns2:blip r:embed="rId35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2526997" cy="6000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1:inline>
        </w:drawing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_rels/document.xml.rels><?xml version='1.0' encoding='utf-8'?>
<Relationships xmlns="http://schemas.openxmlformats.org/package/2006/relationships"><Relationship Id="rId29" Type="http://schemas.openxmlformats.org/officeDocument/2006/relationships/image" Target="media/prototipo-01cotizador.png" /><Relationship Id="rId30" Type="http://schemas.openxmlformats.org/officeDocument/2006/relationships/image" Target="media/prototipo-02cotizacion.png" /><Relationship Id="rId31" Type="http://schemas.openxmlformats.org/officeDocument/2006/relationships/image" Target="media/prototipo-03stockfaltante.png" /><Relationship Id="rId32" Type="http://schemas.openxmlformats.org/officeDocument/2006/relationships/image" Target="media/prototipo-04tableropedidos.png" /><Relationship Id="rId33" Type="http://schemas.openxmlformats.org/officeDocument/2006/relationships/image" Target="media/prototipo-05operariocola.png" /><Relationship Id="rId34" Type="http://schemas.openxmlformats.org/officeDocument/2006/relationships/image" Target="media/prototipo-06portalcliente.png" /><Relationship Id="rId35" Type="http://schemas.openxmlformats.org/officeDocument/2006/relationships/image" Target="media/prototipo-07mobilelogin.png" 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2026-10-05T22:32:00Z</dcterms:created>
  <dc:creator>Abad Cancinos, Lucas Emir (Soporte Externo)</dc:creator>
  <dc:title>Prototipo JACSA — Registro de evidencias</dc:title>
</cp:coreProperties>
</file>