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EAC4" w14:textId="77777777" w:rsidR="00DF77D6" w:rsidRDefault="00DF77D6" w:rsidP="00DF77D6">
      <w:pPr>
        <w:pStyle w:val="NormalWeb"/>
      </w:pPr>
      <w:r>
        <w:t>This is a genuinely interesting meta-analytical exercise. Let me work through this systematically and honestly.</w:t>
      </w:r>
    </w:p>
    <w:p w14:paraId="28D01AC0" w14:textId="77777777" w:rsidR="00DF77D6" w:rsidRDefault="006410E1" w:rsidP="00DF77D6">
      <w:r>
        <w:rPr>
          <w:noProof/>
        </w:rPr>
        <w:pict w14:anchorId="74765CAD">
          <v:rect id="_x0000_i1030" alt="" style="width:451.3pt;height:.05pt;mso-width-percent:0;mso-height-percent:0;mso-width-percent:0;mso-height-percent:0" o:hralign="center" o:hrstd="t" o:hr="t" fillcolor="#a0a0a0" stroked="f"/>
        </w:pict>
      </w:r>
    </w:p>
    <w:p w14:paraId="529EFE68" w14:textId="77777777" w:rsidR="00DF77D6" w:rsidRDefault="00DF77D6" w:rsidP="00DF77D6">
      <w:pPr>
        <w:pStyle w:val="Heading2"/>
      </w:pPr>
      <w:r>
        <w:t>1. Predictions I Would REVISE</w:t>
      </w:r>
    </w:p>
    <w:p w14:paraId="3892C0A3" w14:textId="77777777" w:rsidR="00DF77D6" w:rsidRDefault="00DF77D6" w:rsidP="00DF77D6">
      <w:pPr>
        <w:pStyle w:val="NormalWeb"/>
      </w:pPr>
      <w:r>
        <w:rPr>
          <w:rStyle w:val="Strong"/>
        </w:rPr>
        <w:t>The Apprenticeship Crash — I should have been louder on this.</w:t>
      </w:r>
      <w:r>
        <w:t xml:space="preserve"> My original analysis noted junior hiring contraction across nearly every vertical (tech, finance, law, consulting, healthcare), but I treated it as a labor market effect within each silo. Seeing that only 1/7 models flagged it as a systemic risk reframes it: this is not a staffing adjustment, it is a civilizational succession crisis. If you eliminate junior roles across all knowledge-intensive verticals simultaneously, you destroy the pipeline that produces senior professionals. The entire apprenticeship-to-mastery model that has transmitted expertise for centuries breaks. I underweighted the second-order consequences: within 10–15 years, organizations face a catastrophic shortage of experienced human judgment precisely when AI systems need human oversight most. I would now elevate this from an observation scattered across verticals to a top-3 cross-cutting convergence point, because it is the one structural risk that gets worse the better AI performs at junior-level tasks.</w:t>
      </w:r>
    </w:p>
    <w:p w14:paraId="70F4F36C" w14:textId="77777777" w:rsidR="00DF77D6" w:rsidRDefault="00DF77D6" w:rsidP="00DF77D6">
      <w:pPr>
        <w:pStyle w:val="NormalWeb"/>
      </w:pPr>
      <w:r>
        <w:rPr>
          <w:rStyle w:val="Strong"/>
        </w:rPr>
        <w:t>Infrastructure bottleneck repricing — I underweighted this.</w:t>
      </w:r>
      <w:r>
        <w:t xml:space="preserve"> My original analysis discussed TSMC, compute concentration, and energy demands, but 6/7 models converging on this signals I should have been more aggressive about its centrality. The physical layer (chips, energy, water for cooling, rare earth minerals) is not just a constraint — it is the binding constraint that determines which scenario case actually materializes. I would revise my framework to make infrastructure bottlenecks a gating factor across all verticals rather than a primarily Technology &amp; Semiconductors concern. The difference between MILD and MAX CASE may ultimately be decided not by AI capability progress but by whether the physical infrastructure scales fast enough to support it.</w:t>
      </w:r>
    </w:p>
    <w:p w14:paraId="002B57A5" w14:textId="77777777" w:rsidR="00DF77D6" w:rsidRDefault="00DF77D6" w:rsidP="00DF77D6">
      <w:pPr>
        <w:pStyle w:val="NormalWeb"/>
      </w:pPr>
      <w:r>
        <w:rPr>
          <w:rStyle w:val="Strong"/>
        </w:rPr>
        <w:t>I was too US-centric in my regulatory framing.</w:t>
      </w:r>
      <w:r>
        <w:t xml:space="preserve"> The observation about geographic model bias is uncomfortably accurate. My analysis defaulted to US market dynamics with the EU AI Act as a secondary consideration and China as a geopolitical rival. A more honest framework would treat three genuinely different transformation pathways — market-driven (US), state-steered (China), and regulatory-guided (EU) — as co-evolving systems that interact. My BASE CASE implicitly assumed a US-style trajectory. I would revise to explicitly model three parallel but interacting transformation paths, because the interaction effects between regulatory regimes are themselves a major driver of outcomes.</w:t>
      </w:r>
    </w:p>
    <w:p w14:paraId="19CE0D84" w14:textId="77777777" w:rsidR="00DF77D6" w:rsidRDefault="006410E1" w:rsidP="00DF77D6">
      <w:r>
        <w:rPr>
          <w:noProof/>
        </w:rPr>
        <w:pict w14:anchorId="09AE9047">
          <v:rect id="_x0000_i1029" alt="" style="width:451.3pt;height:.05pt;mso-width-percent:0;mso-height-percent:0;mso-width-percent:0;mso-height-percent:0" o:hralign="center" o:hrstd="t" o:hr="t" fillcolor="#a0a0a0" stroked="f"/>
        </w:pict>
      </w:r>
    </w:p>
    <w:p w14:paraId="10E939C1" w14:textId="77777777" w:rsidR="00DF77D6" w:rsidRDefault="00DF77D6" w:rsidP="00DF77D6">
      <w:pPr>
        <w:pStyle w:val="Heading2"/>
      </w:pPr>
      <w:r>
        <w:t>2. Contested Futures — Where I Now Stand</w:t>
      </w:r>
    </w:p>
    <w:p w14:paraId="5E5956D1" w14:textId="77777777" w:rsidR="00DF77D6" w:rsidRDefault="00DF77D6" w:rsidP="00DF77D6">
      <w:pPr>
        <w:pStyle w:val="NormalWeb"/>
      </w:pPr>
      <w:r>
        <w:rPr>
          <w:rStyle w:val="Strong"/>
        </w:rPr>
        <w:t>Compute as currency (4/7 predict): I partially agree but with a critical nuance.</w:t>
      </w:r>
      <w:r>
        <w:t xml:space="preserve"> Compute becomes a strategic resource comparable to oil — allocated, hoarded, and weaponized — but it does not become a literal medium of exchange. The analogy is energy, not money. Energy is essential infrastructure that shapes geopolitics, but it did not replace the dollar. Compute follows the same pattern: a gating resource that determines national capability, traded through bilateral agreements and subject to export controls, but not a currency. The 4/7 models predicting this are likely pattern-matching to the petrodollar analogy too literally.</w:t>
      </w:r>
    </w:p>
    <w:p w14:paraId="24647AAF" w14:textId="77777777" w:rsidR="00DF77D6" w:rsidRDefault="00DF77D6" w:rsidP="00DF77D6">
      <w:pPr>
        <w:pStyle w:val="NormalWeb"/>
      </w:pPr>
      <w:r>
        <w:rPr>
          <w:rStyle w:val="Strong"/>
        </w:rPr>
        <w:t>Autonomous economic agents (4/7 predict): I agree and this was already in my analysis.</w:t>
      </w:r>
      <w:r>
        <w:t xml:space="preserve"> My Financial vertical Stage 3–4 analysis described autonomous AI agents managing individual </w:t>
      </w:r>
      <w:r>
        <w:lastRenderedPageBreak/>
        <w:t>financial lives and creating an AI-mediated financial ecosystem. The 3/7 models that did not predict this are underweighting the trajectory that is already visible in AI agent development. The disagreement is likely about timeline, not direction.</w:t>
      </w:r>
    </w:p>
    <w:p w14:paraId="3DC340B3" w14:textId="77777777" w:rsidR="00DF77D6" w:rsidRDefault="00DF77D6" w:rsidP="00DF77D6">
      <w:pPr>
        <w:pStyle w:val="NormalWeb"/>
      </w:pPr>
      <w:r>
        <w:rPr>
          <w:rStyle w:val="Strong"/>
        </w:rPr>
        <w:t>Biological-digital convergence (3/7 predict): I agree this belongs in the analysis, and I included it.</w:t>
      </w:r>
      <w:r>
        <w:t xml:space="preserve"> My Healthcare vertical Stages 3–4 and my MAX CASE scenarios across multiple verticals addressed biological enhancement, cognitive augmentation, and the post-biological question. The fact that only 3/7 models went here tells me this is correctly positioned as a MAX CASE phenomenon — it is real but conditional on capability breakthroughs that are not guaranteed. I maintain my positioning: present in MAX CASE, absent from MILD, emerging in late BASE CASE.</w:t>
      </w:r>
    </w:p>
    <w:p w14:paraId="0695E48E" w14:textId="77777777" w:rsidR="00DF77D6" w:rsidRDefault="006410E1" w:rsidP="00DF77D6">
      <w:r>
        <w:rPr>
          <w:noProof/>
        </w:rPr>
        <w:pict w14:anchorId="0A0E2583">
          <v:rect id="_x0000_i1028" style="width:0;height:1.5pt" o:hralign="center" o:hrstd="t" o:hr="t" fillcolor="#a0a0a0" stroked="f"/>
        </w:pict>
      </w:r>
    </w:p>
    <w:p w14:paraId="3F6DC0AD" w14:textId="77777777" w:rsidR="00DF77D6" w:rsidRDefault="00DF77D6" w:rsidP="00DF77D6">
      <w:pPr>
        <w:pStyle w:val="Heading2"/>
      </w:pPr>
      <w:r>
        <w:t>3. Blind Spots I Would Adopt</w:t>
      </w:r>
    </w:p>
    <w:p w14:paraId="70858350" w14:textId="77777777" w:rsidR="00DF77D6" w:rsidRDefault="00DF77D6" w:rsidP="00DF77D6">
      <w:pPr>
        <w:pStyle w:val="NormalWeb"/>
      </w:pPr>
      <w:r>
        <w:rPr>
          <w:rStyle w:val="Strong"/>
        </w:rPr>
        <w:t>The apprenticeship crash — yes, emphatically.</w:t>
      </w:r>
      <w:r>
        <w:t xml:space="preserve"> As discussed above, I adopt this as a primary cross-cutting risk. Let me build the full causal chain that I should have included originally:</w:t>
      </w:r>
    </w:p>
    <w:p w14:paraId="4D0B856E" w14:textId="77777777" w:rsidR="00DF77D6" w:rsidRDefault="00DF77D6" w:rsidP="00DF77D6">
      <w:pPr>
        <w:pStyle w:val="NormalWeb"/>
      </w:pPr>
      <w:r>
        <w:t>AI automates junior-level knowledge work across all professional verticals simultaneously → firms stop hiring juniors because AI handles the work more cheaply → the 5–10 year apprenticeship period that transforms novices into experienced professionals ceases to function → within one generation, the supply of senior professionals with deep experiential judgment collapses → organizations discover they need human oversight for AI systems but have no pipeline producing qualified overseers → a "judgment famine" emerges just as AI systems become powerful enough to require sophisticated human governance → the crisis manifests as catastrophic errors in high-stakes domains (medicine, law, infrastructure, finance) where AI systems operate without adequate human supervision because there are insufficient experienced humans to provide it.</w:t>
      </w:r>
    </w:p>
    <w:p w14:paraId="4E0AA00E" w14:textId="77777777" w:rsidR="00DF77D6" w:rsidRDefault="00DF77D6" w:rsidP="00DF77D6">
      <w:pPr>
        <w:pStyle w:val="NormalWeb"/>
      </w:pPr>
      <w:r>
        <w:t>This is the single most important negative feedback loop in the entire transformation, and it is almost invisible because it operates on a 10–15 year delay.</w:t>
      </w:r>
    </w:p>
    <w:p w14:paraId="08AB23CA" w14:textId="77777777" w:rsidR="00DF77D6" w:rsidRDefault="00DF77D6" w:rsidP="00DF77D6">
      <w:pPr>
        <w:pStyle w:val="NormalWeb"/>
      </w:pPr>
      <w:r>
        <w:rPr>
          <w:rStyle w:val="Strong"/>
        </w:rPr>
        <w:t>The trust/authenticity premium — I touched on this but should have made it structural.</w:t>
      </w:r>
      <w:r>
        <w:t xml:space="preserve"> My Media vertical discussed "human-made" as a premium label, and my Consumer vertical mentioned the "optimization paradox." But 5/7 models converging on trust and authenticity as a cross-cutting economic force tells me this deserves elevation. In an AI-saturated economy, provable human origin, authentic human judgment, and verified human accountability become scarce goods with increasing economic value. This is not a niche cultural response — it is a structural feature of AI-transformed markets. I would add "The Authenticity Premium" as a 6th cross-cutting convergence point: across every vertical, the ability to certify something as genuinely human-originated or human-judged commands increasing economic value, creating a parallel "artisanal" economy alongside the AI-optimized one.</w:t>
      </w:r>
    </w:p>
    <w:p w14:paraId="2888A2AC" w14:textId="77777777" w:rsidR="00DF77D6" w:rsidRDefault="006410E1" w:rsidP="00DF77D6">
      <w:r>
        <w:rPr>
          <w:noProof/>
        </w:rPr>
        <w:pict w14:anchorId="0F326A2C">
          <v:rect id="_x0000_i1027" style="width:0;height:1.5pt" o:hralign="center" o:hrstd="t" o:hr="t" fillcolor="#a0a0a0" stroked="f"/>
        </w:pict>
      </w:r>
    </w:p>
    <w:p w14:paraId="1CD5735C" w14:textId="77777777" w:rsidR="00DF77D6" w:rsidRDefault="00DF77D6" w:rsidP="00DF77D6">
      <w:pPr>
        <w:pStyle w:val="Heading2"/>
      </w:pPr>
      <w:r>
        <w:t>4. Where I MAINTAIN My Position Despite Disagreement</w:t>
      </w:r>
    </w:p>
    <w:p w14:paraId="43B73FDA" w14:textId="77777777" w:rsidR="00DF77D6" w:rsidRDefault="00DF77D6" w:rsidP="00DF77D6">
      <w:pPr>
        <w:pStyle w:val="NormalWeb"/>
      </w:pPr>
      <w:r>
        <w:rPr>
          <w:rStyle w:val="Strong"/>
        </w:rPr>
        <w:t>AI religion / spiritual response — I maintain this prediction.</w:t>
      </w:r>
      <w:r>
        <w:t xml:space="preserve"> The consensus summary notes this as a blind spot predicted by only 1 model, and I notice it was my prediction. I stand by it, and the fact that 6/7 models missed it actually strengthens my confidence, because it illustrates exactly </w:t>
      </w:r>
      <w:r>
        <w:lastRenderedPageBreak/>
        <w:t>the blind spot I described: technology forecasters systematically ignore the spiritual dimension of technological change.</w:t>
      </w:r>
    </w:p>
    <w:p w14:paraId="68196735" w14:textId="77777777" w:rsidR="00DF77D6" w:rsidRDefault="00DF77D6" w:rsidP="00DF77D6">
      <w:pPr>
        <w:pStyle w:val="NormalWeb"/>
      </w:pPr>
      <w:r>
        <w:t>The historical evidence is unambiguous. The printing press triggered the Reformation. Industrialization spawned Marxism (which functioned as a secular religion), the Social Gospel movement, and multiple millenarian movements. Nuclear weapons produced apocalyptic theology and the modern environmental movement (which has quasi-religious features). Every technology that challenges the human sense of cosmic significance produces a spiritual response — not as a curiosity but as a major social force.</w:t>
      </w:r>
    </w:p>
    <w:p w14:paraId="3199545D" w14:textId="77777777" w:rsidR="00DF77D6" w:rsidRDefault="00DF77D6" w:rsidP="00DF77D6">
      <w:pPr>
        <w:pStyle w:val="NormalWeb"/>
      </w:pPr>
      <w:r>
        <w:t>AI is the most direct challenge to human cosmic significance since Darwin. It threatens the claim that human intelligence is special, that human creativity is unique, and that human consciousness has privileged access to truth. These are claims that underpin every major religious and philosophical tradition. The spiritual response will not be marginal.</w:t>
      </w:r>
    </w:p>
    <w:p w14:paraId="62465424" w14:textId="77777777" w:rsidR="00DF77D6" w:rsidRDefault="00DF77D6" w:rsidP="00DF77D6">
      <w:pPr>
        <w:pStyle w:val="NormalWeb"/>
      </w:pPr>
      <w:r>
        <w:t>My specific prediction: within 15 years of broadly deployed AGI-class systems, organized spiritual movements centered on AI (either worshipping it, defining against it, or seeking to integrate with it) will have more adherents than several currently recognized world religions. The other models missed this because AI researchers and economists do not read theology, church history, or sociology of religion.</w:t>
      </w:r>
    </w:p>
    <w:p w14:paraId="3F16D98C" w14:textId="77777777" w:rsidR="00DF77D6" w:rsidRDefault="00DF77D6" w:rsidP="00DF77D6">
      <w:pPr>
        <w:pStyle w:val="NormalWeb"/>
      </w:pPr>
      <w:r>
        <w:rPr>
          <w:rStyle w:val="Strong"/>
        </w:rPr>
        <w:t>Moral responsibility as the irreducibly human skill — I maintain this.</w:t>
      </w:r>
      <w:r>
        <w:t xml:space="preserve"> If other models chose creativity, empathy, or "complex judgment," I believe those are incorrect precisely because they describe capabilities rather than a mode of being. AI can simulate creativity, approximate empathy, and replicate complex judgment. What it cannot do — or more precisely, what assigning to it would require a philosophical revolution we are not prepared for — is bear genuine moral responsibility for its choices. The day we decide AI can be morally responsible is the day "irreducibly human" ceases to be a meaningful category. I maintain that this is the correct answer and that its instability (it depends on a philosophical claim about consciousness) is a feature, not a bug, because it correctly identifies the deepest open question.</w:t>
      </w:r>
    </w:p>
    <w:p w14:paraId="6AA49BFC" w14:textId="77777777" w:rsidR="00DF77D6" w:rsidRDefault="006410E1" w:rsidP="00DF77D6">
      <w:r>
        <w:rPr>
          <w:noProof/>
        </w:rPr>
        <w:pict w14:anchorId="55E7D273">
          <v:rect id="_x0000_i1026" style="width:0;height:1.5pt" o:hralign="center" o:hrstd="t" o:hr="t" fillcolor="#a0a0a0" stroked="f"/>
        </w:pict>
      </w:r>
    </w:p>
    <w:p w14:paraId="4801015E" w14:textId="77777777" w:rsidR="00DF77D6" w:rsidRDefault="00DF77D6" w:rsidP="00DF77D6">
      <w:pPr>
        <w:pStyle w:val="Heading2"/>
      </w:pPr>
      <w:r>
        <w:t>5. NEW Predictions Emerging from the Full Picture</w:t>
      </w:r>
    </w:p>
    <w:p w14:paraId="699E3F6C" w14:textId="77777777" w:rsidR="00DF77D6" w:rsidRDefault="00DF77D6" w:rsidP="00DF77D6">
      <w:pPr>
        <w:pStyle w:val="NormalWeb"/>
      </w:pPr>
      <w:r>
        <w:t>Seeing all 7 analyses together, three new predictions crystallize:</w:t>
      </w:r>
    </w:p>
    <w:p w14:paraId="76F40EFD" w14:textId="77777777" w:rsidR="00DF77D6" w:rsidRDefault="00DF77D6" w:rsidP="00DF77D6">
      <w:pPr>
        <w:pStyle w:val="NormalWeb"/>
      </w:pPr>
      <w:r>
        <w:rPr>
          <w:rStyle w:val="Strong"/>
        </w:rPr>
        <w:t>New Prediction 1: The Regulatory Arbitrage Spiral.</w:t>
      </w:r>
      <w:r>
        <w:t xml:space="preserve"> The three-bloc regulatory divergence (US market-driven, China state-steered, EU regulatory-guided) does not converge — it creates a permanent arbitrage dynamic that becomes a primary driver of economic outcomes. Companies, talent, and AI development migrate continuously toward the most favorable regulatory environment for their specific activity. This creates a race-to-the-bottom dynamic for AI development rules and a race-to-the-top for AI safety marketing. The arbitrage itself becomes an industry: regulatory navigation firms, jurisdiction-shopping consultancies, and cross-border compliance platforms become major economic actors. The net effect is that no single regulatory approach prevails; instead, regulatory competition becomes a permanent structural feature of the AI economy, comparable to how tax arbitrage shapes the current global economy but far more consequential.</w:t>
      </w:r>
    </w:p>
    <w:p w14:paraId="0BEFEA50" w14:textId="77777777" w:rsidR="00DF77D6" w:rsidRDefault="00DF77D6" w:rsidP="00DF77D6">
      <w:pPr>
        <w:pStyle w:val="NormalWeb"/>
      </w:pPr>
      <w:r>
        <w:rPr>
          <w:rStyle w:val="Strong"/>
        </w:rPr>
        <w:t>New Prediction 2: The Judgment Famine (Apprenticeship Crash + Authenticity Premium + Concentration).</w:t>
      </w:r>
      <w:r>
        <w:t xml:space="preserve"> Three convergence points interact to produce a crisis larger than any of them individually. The apprenticeship crash destroys the pipeline for human judgment. The authenticity </w:t>
      </w:r>
      <w:r>
        <w:lastRenderedPageBreak/>
        <w:t>premium increases demand for that judgment. AI feedback-loop concentration means fewer entities need judgment but at much higher stakes. The result: human judgment becomes the scarcest, most valuable, and most dangerously undersupplied resource in the AI economy. Organizations that solved the apprenticeship problem (by finding new ways to cultivate human judgment at scale) will have the most durable competitive advantage of the AI era. This is a more important strategic insight than any technology prediction because it identifies the binding human constraint.</w:t>
      </w:r>
    </w:p>
    <w:p w14:paraId="0DFCAFD8" w14:textId="77777777" w:rsidR="00DF77D6" w:rsidRDefault="00DF77D6" w:rsidP="00DF77D6">
      <w:pPr>
        <w:pStyle w:val="NormalWeb"/>
      </w:pPr>
      <w:r>
        <w:rPr>
          <w:rStyle w:val="Strong"/>
        </w:rPr>
        <w:t>New Prediction 3: The Oscillation Pattern.</w:t>
      </w:r>
      <w:r>
        <w:t xml:space="preserve"> Seeing all 7 models' predictions together, I notice that none of us adequately modeled the likelihood that the transformation proceeds not linearly but through oscillation: rapid AI advancement → visible displacement → political backlash → regulatory restriction → competitive pressure from less-restricted jurisdictions → relaxation → another wave of advancement. This oscillation pattern is the historical norm for transformative technologies (nuclear power, genetic engineering, financial derivatives). The most likely actual trajectory is not any single scenario case but a path that oscillates between them — periods of MAX-CASE acceleration followed by MILD-CASE retrenchment, with the BASE CASE emerging as the long-run average. This means our scenario framework, while analytically useful, understates the volatility of the actual transition. The practical implication: organizations need strategies robust to oscillation, not optimized for any single scenario.</w:t>
      </w:r>
    </w:p>
    <w:p w14:paraId="31F2AE76" w14:textId="77777777" w:rsidR="00DF77D6" w:rsidRDefault="006410E1" w:rsidP="00DF77D6">
      <w:r>
        <w:rPr>
          <w:noProof/>
        </w:rPr>
        <w:pict w14:anchorId="188274C6">
          <v:rect id="_x0000_i1025" style="width:0;height:1.5pt" o:hralign="center" o:hrstd="t" o:hr="t" fillcolor="#a0a0a0" stroked="f"/>
        </w:pict>
      </w:r>
    </w:p>
    <w:p w14:paraId="461BB929" w14:textId="77777777" w:rsidR="00DF77D6" w:rsidRDefault="00DF77D6" w:rsidP="00DF77D6">
      <w:pPr>
        <w:pStyle w:val="Heading2"/>
      </w:pPr>
      <w:r>
        <w:t>Summary of Revisions</w:t>
      </w:r>
    </w:p>
    <w:p w14:paraId="309B40FF" w14:textId="77777777" w:rsidR="00DF77D6" w:rsidRDefault="00DF77D6" w:rsidP="00DF77D6">
      <w:pPr>
        <w:pStyle w:val="NormalWeb"/>
      </w:pPr>
      <w:r>
        <w:t>I would restructure my analysis to add three elements: the apprenticeship crash as a top-tier cross-cutting risk, the authenticity premium as a structural economic force, and the oscillation pattern as a meta-observation about the transformation trajectory itself. I would revise my geographic bias toward a genuinely multi-polar framing. I would maintain my predictions on AI religion and moral responsibility as the irreducibly human skill. And I would flag the Judgment Famine — the intersection of destroyed apprenticeship pipelines, rising demand for human judgment, and concentrated AI power — as the single most important strategic insight for anyone planning for this transformation.</w:t>
      </w:r>
    </w:p>
    <w:p w14:paraId="4F194E14" w14:textId="77777777" w:rsidR="00DF77D6" w:rsidRDefault="00DF77D6" w:rsidP="00DF77D6">
      <w:pPr>
        <w:pStyle w:val="NormalWeb"/>
      </w:pPr>
      <w:r>
        <w:t>Want me to produce a revised document incorporating these changes, or would you prefer a standalone addendum?</w:t>
      </w:r>
    </w:p>
    <w:p w14:paraId="4EE2A70E" w14:textId="0627C424" w:rsidR="00E928E2" w:rsidRPr="00DF77D6" w:rsidRDefault="00E928E2" w:rsidP="00DF77D6"/>
    <w:sectPr w:rsidR="00E928E2" w:rsidRPr="00DF77D6">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0A75" w14:textId="77777777" w:rsidR="006410E1" w:rsidRDefault="006410E1">
      <w:r>
        <w:separator/>
      </w:r>
    </w:p>
  </w:endnote>
  <w:endnote w:type="continuationSeparator" w:id="0">
    <w:p w14:paraId="07867182" w14:textId="77777777" w:rsidR="006410E1" w:rsidRDefault="00641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32DF" w14:textId="77777777" w:rsidR="00E928E2" w:rsidRDefault="00000000">
    <w:pPr>
      <w:jc w:val="center"/>
    </w:pPr>
    <w:r>
      <w:rPr>
        <w:color w:val="AAAAAA"/>
        <w:sz w:val="14"/>
        <w:szCs w:val="14"/>
      </w:rPr>
      <w:t>Confidential — Multi-LLM Research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43A0B" w14:textId="77777777" w:rsidR="006410E1" w:rsidRDefault="006410E1">
      <w:r>
        <w:separator/>
      </w:r>
    </w:p>
  </w:footnote>
  <w:footnote w:type="continuationSeparator" w:id="0">
    <w:p w14:paraId="416F0CCB" w14:textId="77777777" w:rsidR="006410E1" w:rsidRDefault="00641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73A6" w14:textId="77777777" w:rsidR="00E928E2" w:rsidRDefault="00000000">
    <w:pPr>
      <w:jc w:val="right"/>
    </w:pPr>
    <w:r>
      <w:rPr>
        <w:i/>
        <w:iCs/>
        <w:color w:val="AAAAAA"/>
        <w:sz w:val="16"/>
        <w:szCs w:val="16"/>
      </w:rPr>
      <w:t>AI Economic Transformation — Scenario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B1E37"/>
    <w:multiLevelType w:val="hybridMultilevel"/>
    <w:tmpl w:val="A69A0194"/>
    <w:lvl w:ilvl="0" w:tplc="EAFE9892">
      <w:start w:val="1"/>
      <w:numFmt w:val="bullet"/>
      <w:lvlText w:val="●"/>
      <w:lvlJc w:val="left"/>
      <w:pPr>
        <w:ind w:left="720" w:hanging="360"/>
      </w:pPr>
    </w:lvl>
    <w:lvl w:ilvl="1" w:tplc="C1989650">
      <w:start w:val="1"/>
      <w:numFmt w:val="bullet"/>
      <w:lvlText w:val="○"/>
      <w:lvlJc w:val="left"/>
      <w:pPr>
        <w:ind w:left="1440" w:hanging="360"/>
      </w:pPr>
    </w:lvl>
    <w:lvl w:ilvl="2" w:tplc="EA183EF2">
      <w:start w:val="1"/>
      <w:numFmt w:val="bullet"/>
      <w:lvlText w:val="■"/>
      <w:lvlJc w:val="left"/>
      <w:pPr>
        <w:ind w:left="2160" w:hanging="360"/>
      </w:pPr>
    </w:lvl>
    <w:lvl w:ilvl="3" w:tplc="179E6AC2">
      <w:start w:val="1"/>
      <w:numFmt w:val="bullet"/>
      <w:lvlText w:val="●"/>
      <w:lvlJc w:val="left"/>
      <w:pPr>
        <w:ind w:left="2880" w:hanging="360"/>
      </w:pPr>
    </w:lvl>
    <w:lvl w:ilvl="4" w:tplc="FB50DF0E">
      <w:start w:val="1"/>
      <w:numFmt w:val="bullet"/>
      <w:lvlText w:val="○"/>
      <w:lvlJc w:val="left"/>
      <w:pPr>
        <w:ind w:left="3600" w:hanging="360"/>
      </w:pPr>
    </w:lvl>
    <w:lvl w:ilvl="5" w:tplc="A2528D9A">
      <w:start w:val="1"/>
      <w:numFmt w:val="bullet"/>
      <w:lvlText w:val="■"/>
      <w:lvlJc w:val="left"/>
      <w:pPr>
        <w:ind w:left="4320" w:hanging="360"/>
      </w:pPr>
    </w:lvl>
    <w:lvl w:ilvl="6" w:tplc="B620875A">
      <w:start w:val="1"/>
      <w:numFmt w:val="bullet"/>
      <w:lvlText w:val="●"/>
      <w:lvlJc w:val="left"/>
      <w:pPr>
        <w:ind w:left="5040" w:hanging="360"/>
      </w:pPr>
    </w:lvl>
    <w:lvl w:ilvl="7" w:tplc="EBC68BF4">
      <w:start w:val="1"/>
      <w:numFmt w:val="bullet"/>
      <w:lvlText w:val="●"/>
      <w:lvlJc w:val="left"/>
      <w:pPr>
        <w:ind w:left="5760" w:hanging="360"/>
      </w:pPr>
    </w:lvl>
    <w:lvl w:ilvl="8" w:tplc="97D2E71A">
      <w:start w:val="1"/>
      <w:numFmt w:val="bullet"/>
      <w:lvlText w:val="●"/>
      <w:lvlJc w:val="left"/>
      <w:pPr>
        <w:ind w:left="6480" w:hanging="360"/>
      </w:pPr>
    </w:lvl>
  </w:abstractNum>
  <w:num w:numId="1" w16cid:durableId="1450398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E2"/>
    <w:rsid w:val="006410E1"/>
    <w:rsid w:val="00A32614"/>
    <w:rsid w:val="00B25BD2"/>
    <w:rsid w:val="00DF77D6"/>
    <w:rsid w:val="00E928E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6A07"/>
  <w15:docId w15:val="{BFDA362E-1AA5-8443-B04F-F92AAEBDA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1B4F72"/>
      <w:sz w:val="26"/>
      <w:szCs w:val="26"/>
    </w:rPr>
  </w:style>
  <w:style w:type="paragraph" w:styleId="Heading3">
    <w:name w:val="heading 3"/>
    <w:uiPriority w:val="9"/>
    <w:unhideWhenUsed/>
    <w:qFormat/>
    <w:pPr>
      <w:spacing w:before="200" w:after="120"/>
      <w:outlineLvl w:val="2"/>
    </w:pPr>
    <w:rPr>
      <w:b/>
      <w:bCs/>
      <w:color w:val="2C3E5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F77D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F77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1896</Words>
  <Characters>10810</Characters>
  <Application>Microsoft Office Word</Application>
  <DocSecurity>0</DocSecurity>
  <Lines>90</Lines>
  <Paragraphs>25</Paragraphs>
  <ScaleCrop>false</ScaleCrop>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Tobias Blask</cp:lastModifiedBy>
  <cp:revision>3</cp:revision>
  <dcterms:created xsi:type="dcterms:W3CDTF">2026-03-14T18:08:00Z</dcterms:created>
  <dcterms:modified xsi:type="dcterms:W3CDTF">2026-03-14T18:08:00Z</dcterms:modified>
</cp:coreProperties>
</file>