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0891B2"/>
          <w:sz w:val="36"/>
          <w:szCs w:val="36"/>
        </w:rPr>
        <w:t xml:space="preserve">PROCESS-1ST LLC</w:t>
      </w:r>
    </w:p>
    <w:p>
      <w:r>
        <w:rPr>
          <w:sz w:val="28"/>
          <w:szCs w:val="28"/>
        </w:rPr>
        <w:t xml:space="preserve">Account Intelligence Report</w:t>
      </w:r>
    </w:p>
    <w:p>
      <w:r>
        <w:rPr>
          <w:color w:val="64748B"/>
          <w:sz w:val="22"/>
          <w:szCs w:val="22"/>
        </w:rPr>
        <w:t xml:space="preserve">Matica Biotechnology  |  AAV 500L  |  April 7, 2026</w:t>
      </w:r>
    </w:p>
    <w:p/>
    <w:p>
      <w:pPr>
        <w:spacing w:before="400"/>
      </w:pPr>
      <w:r>
        <w:rPr>
          <w:b/>
          <w:bCs/>
          <w:color w:val="0891B2"/>
          <w:sz w:val="24"/>
          <w:szCs w:val="24"/>
        </w:rPr>
        <w:t xml:space="preserve">SECTION 1  </w:t>
      </w:r>
      <w:r>
        <w:rPr>
          <w:b/>
          <w:bCs/>
          <w:sz w:val="24"/>
          <w:szCs w:val="24"/>
        </w:rPr>
        <w:t xml:space="preserve">Site Intelligence Profile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color="0891B2" w:val="solid"/>
          </w:tcPr>
          <w:p>
            <w:r>
              <w:rPr>
                <w:b/>
                <w:bCs/>
                <w:color w:val="FFFFFF"/>
                <w:sz w:val="18"/>
                <w:szCs w:val="18"/>
              </w:rPr>
              <w:t xml:space="preserve">Field</w:t>
            </w:r>
          </w:p>
        </w:tc>
        <w:tc>
          <w:tcPr>
            <w:shd w:color="0891B2" w:val="solid"/>
          </w:tcPr>
          <w:p>
            <w:r>
              <w:rPr>
                <w:b/>
                <w:bCs/>
                <w:color w:val="FFFFFF"/>
                <w:sz w:val="18"/>
                <w:szCs w:val="18"/>
              </w:rPr>
              <w:t xml:space="preserve">Data — Source: Public Records</w:t>
            </w:r>
          </w:p>
        </w:tc>
      </w:tr>
      <w:tr>
        <w:tc>
          <w:tcPr>
            <w:tcW w:type="pct" w:w="25%"/>
          </w:tcPr>
          <w:p>
            <w:r>
              <w:rPr>
                <w:sz w:val="18"/>
                <w:szCs w:val="18"/>
              </w:rPr>
              <w:t xml:space="preserve">Company</w:t>
            </w:r>
          </w:p>
        </w:tc>
        <w:tc>
          <w:p>
            <w:r>
              <w:rPr>
                <w:sz w:val="18"/>
                <w:szCs w:val="18"/>
              </w:rPr>
              <w:t xml:space="preserve">Matica Biotechnology</w:t>
            </w:r>
          </w:p>
        </w:tc>
      </w:tr>
      <w:tr>
        <w:tc>
          <w:tcPr>
            <w:tcW w:type="pct" w:w="25%"/>
          </w:tcPr>
          <w:p>
            <w:r>
              <w:rPr>
                <w:sz w:val="18"/>
                <w:szCs w:val="18"/>
              </w:rPr>
              <w:t xml:space="preserve">Address</w:t>
            </w:r>
          </w:p>
        </w:tc>
        <w:tc>
          <w:p>
            <w:r>
              <w:rPr>
                <w:sz w:val="18"/>
                <w:szCs w:val="18"/>
              </w:rPr>
              <w:t xml:space="preserve">College Station, TX</w:t>
            </w:r>
          </w:p>
        </w:tc>
      </w:tr>
      <w:tr>
        <w:tc>
          <w:tcPr>
            <w:tcW w:type="pct" w:w="25%"/>
          </w:tcPr>
          <w:p>
            <w:r>
              <w:rPr>
                <w:sz w:val="18"/>
                <w:szCs w:val="18"/>
              </w:rPr>
              <w:t xml:space="preserve">Modalities</w:t>
            </w:r>
          </w:p>
        </w:tc>
        <w:tc>
          <w:p>
            <w:r>
              <w:rPr>
                <w:sz w:val="18"/>
                <w:szCs w:val="18"/>
              </w:rPr>
              <w:t xml:space="preserve">AAV (AAV, Lentivirus)</w:t>
            </w:r>
          </w:p>
        </w:tc>
      </w:tr>
      <w:tr>
        <w:tc>
          <w:tcPr>
            <w:tcW w:type="pct" w:w="25%"/>
          </w:tcPr>
          <w:p>
            <w:r>
              <w:rPr>
                <w:sz w:val="18"/>
                <w:szCs w:val="18"/>
              </w:rPr>
              <w:t xml:space="preserve">GMP Status</w:t>
            </w:r>
          </w:p>
        </w:tc>
        <w:tc>
          <w:p>
            <w:r>
              <w:rPr>
                <w:sz w:val="18"/>
                <w:szCs w:val="18"/>
              </w:rPr>
              <w:t xml:space="preserve">cGMP</w:t>
            </w:r>
          </w:p>
        </w:tc>
      </w:tr>
      <w:tr>
        <w:tc>
          <w:tcPr>
            <w:tcW w:type="pct" w:w="25%"/>
          </w:tcPr>
          <w:p>
            <w:r>
              <w:rPr>
                <w:sz w:val="18"/>
                <w:szCs w:val="18"/>
              </w:rPr>
              <w:t xml:space="preserve">Scale</w:t>
            </w:r>
          </w:p>
        </w:tc>
        <w:tc>
          <w:p>
            <w:r>
              <w:rPr>
                <w:sz w:val="18"/>
                <w:szCs w:val="18"/>
              </w:rPr>
              <w:t xml:space="preserve">500L</w:t>
            </w:r>
          </w:p>
        </w:tc>
      </w:tr>
      <w:tr>
        <w:tc>
          <w:tcPr>
            <w:tcW w:type="pct" w:w="25%"/>
          </w:tcPr>
          <w:p>
            <w:r>
              <w:rPr>
                <w:sz w:val="18"/>
                <w:szCs w:val="18"/>
              </w:rPr>
              <w:t xml:space="preserve">Phase</w:t>
            </w:r>
          </w:p>
        </w:tc>
        <w:tc>
          <w:p>
            <w:r>
              <w:rPr>
                <w:sz w:val="18"/>
                <w:szCs w:val="18"/>
              </w:rPr>
              <w:t xml:space="preserve">Unknown</w:t>
            </w:r>
          </w:p>
        </w:tc>
      </w:tr>
      <w:tr>
        <w:tc>
          <w:tcPr>
            <w:tcW w:type="pct" w:w="25%"/>
          </w:tcPr>
          <w:p>
            <w:r>
              <w:rPr>
                <w:sz w:val="18"/>
                <w:szCs w:val="18"/>
              </w:rPr>
              <w:t xml:space="preserve">IND Visibility</w:t>
            </w:r>
          </w:p>
        </w:tc>
        <w:tc>
          <w:p>
            <w:r>
              <w:rPr>
                <w:sz w:val="18"/>
                <w:szCs w:val="18"/>
              </w:rPr>
              <w:t xml:space="preserve">Innovator — see pipeline below</w:t>
            </w:r>
          </w:p>
        </w:tc>
      </w:tr>
      <w:tr>
        <w:tc>
          <w:tcPr>
            <w:tcW w:type="pct" w:w="25%"/>
          </w:tcPr>
          <w:p>
            <w:r>
              <w:rPr>
                <w:sz w:val="18"/>
                <w:szCs w:val="18"/>
              </w:rPr>
              <w:t xml:space="preserve">Process Templates</w:t>
            </w:r>
          </w:p>
        </w:tc>
        <w:tc>
          <w:p>
            <w:r>
              <w:rPr>
                <w:sz w:val="18"/>
                <w:szCs w:val="18"/>
              </w:rPr>
              <w:t xml:space="preserve">AAV 500L</w:t>
            </w:r>
          </w:p>
        </w:tc>
      </w:tr>
      <w:tr>
        <w:tc>
          <w:tcPr>
            <w:tcW w:type="pct" w:w="25%"/>
          </w:tcPr>
          <w:p>
            <w:r>
              <w:rPr>
                <w:sz w:val="18"/>
                <w:szCs w:val="18"/>
              </w:rPr>
              <w:t xml:space="preserve">FEI Number</w:t>
            </w:r>
          </w:p>
        </w:tc>
        <w:tc>
          <w:p>
            <w:r>
              <w:rPr>
                <w:sz w:val="18"/>
                <w:szCs w:val="18"/>
              </w:rPr>
              <w:t xml:space="preserve">Not found in DECRS</w:t>
            </w:r>
          </w:p>
        </w:tc>
      </w:tr>
      <w:tr>
        <w:tc>
          <w:tcPr>
            <w:tcW w:type="pct" w:w="25%"/>
          </w:tcPr>
          <w:p>
            <w:r>
              <w:rPr>
                <w:sz w:val="18"/>
                <w:szCs w:val="18"/>
              </w:rPr>
              <w:t xml:space="preserve">Sales Temperature</w:t>
            </w:r>
          </w:p>
        </w:tc>
        <w:tc>
          <w:p>
            <w:r>
              <w:rPr>
                <w:sz w:val="18"/>
                <w:szCs w:val="18"/>
              </w:rPr>
              <w:t xml:space="preserve">WARM — SEC filing activity</w:t>
            </w:r>
          </w:p>
        </w:tc>
      </w:tr>
      <w:tr>
        <w:tc>
          <w:tcPr>
            <w:tcW w:type="pct" w:w="25%"/>
          </w:tcPr>
          <w:p>
            <w:r>
              <w:rPr>
                <w:sz w:val="18"/>
                <w:szCs w:val="18"/>
              </w:rPr>
              <w:t xml:space="preserve">Data Sources Used</w:t>
            </w:r>
          </w:p>
        </w:tc>
        <w:tc>
          <w:p>
            <w:r>
              <w:rPr>
                <w:sz w:val="18"/>
                <w:szCs w:val="18"/>
              </w:rPr>
              <w:t xml:space="preserve">CT.gov, openFDA, DECRS, HCTERS, SEC EDGAR, Company Website</w:t>
            </w:r>
          </w:p>
        </w:tc>
      </w:tr>
    </w:tbl>
    <w:p/>
    <w:p>
      <w:pPr>
        <w:spacing w:before="400"/>
      </w:pPr>
      <w:r>
        <w:rPr>
          <w:b/>
          <w:bCs/>
          <w:color w:val="0891B2"/>
          <w:sz w:val="24"/>
          <w:szCs w:val="24"/>
        </w:rPr>
        <w:t xml:space="preserve">SECTION 1B  </w:t>
      </w:r>
      <w:r>
        <w:rPr>
          <w:b/>
          <w:bCs/>
          <w:sz w:val="24"/>
          <w:szCs w:val="24"/>
        </w:rPr>
        <w:t xml:space="preserve">Facility Pipeline</w:t>
      </w:r>
    </w:p>
    <w:p>
      <w:r>
        <w:rPr>
          <w:i/>
          <w:iCs/>
          <w:sz w:val="20"/>
          <w:szCs w:val="20"/>
        </w:rPr>
        <w:t xml:space="preserve">No clinical trials found in public databases.</w:t>
      </w:r>
    </w:p>
    <w:p/>
    <w:p>
      <w:pPr>
        <w:spacing w:before="400"/>
      </w:pPr>
      <w:r>
        <w:rPr>
          <w:b/>
          <w:bCs/>
          <w:color w:val="0891B2"/>
          <w:sz w:val="24"/>
          <w:szCs w:val="24"/>
        </w:rPr>
        <w:t xml:space="preserve">SECTION 2  </w:t>
      </w:r>
      <w:r>
        <w:rPr>
          <w:b/>
          <w:bCs/>
          <w:sz w:val="24"/>
          <w:szCs w:val="24"/>
        </w:rPr>
        <w:t xml:space="preserve">Process Map — Equipment Position and Competitive Landscape</w:t>
      </w:r>
    </w:p>
    <w:p>
      <w:r>
        <w:rPr>
          <w:i/>
          <w:iCs/>
          <w:color w:val="64748B"/>
          <w:sz w:val="20"/>
          <w:szCs w:val="20"/>
        </w:rPr>
        <w:t xml:space="preserve">Primary modality: AAV 500L. Vendor perspective: Thermo Fisher.</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0B981" w:color="10B981" w:val="solid"/>
          </w:tcPr>
          <w:p>
            <w:r>
              <w:rPr>
                <w:b/>
                <w:bCs/>
                <w:color w:val="FFFFFF"/>
                <w:sz w:val="16"/>
                <w:szCs w:val="16"/>
              </w:rPr>
              <w:t xml:space="preserve">✓ WON — Already installed</w:t>
            </w:r>
          </w:p>
        </w:tc>
        <w:tc>
          <w:tcPr>
            <w:shd w:fill="F59E0B" w:color="F59E0B" w:val="solid"/>
          </w:tcPr>
          <w:p>
            <w:r>
              <w:rPr>
                <w:b/>
                <w:bCs/>
                <w:color w:val="FFFFFF"/>
                <w:sz w:val="16"/>
                <w:szCs w:val="16"/>
              </w:rPr>
              <w:t xml:space="preserve">● OPEN — Priority opportunity</w:t>
            </w:r>
          </w:p>
        </w:tc>
        <w:tc>
          <w:tcPr>
            <w:shd w:fill="EF4444" w:color="EF4444" w:val="solid"/>
          </w:tcPr>
          <w:p>
            <w:r>
              <w:rPr>
                <w:b/>
                <w:bCs/>
                <w:color w:val="FFFFFF"/>
                <w:sz w:val="16"/>
                <w:szCs w:val="16"/>
              </w:rPr>
              <w:t xml:space="preserve">✕ COMPETITOR — Competitive threat</w:t>
            </w:r>
          </w:p>
        </w:tc>
        <w:tc>
          <w:tcPr>
            <w:shd w:fill="94A3B8" w:color="94A3B8" w:val="solid"/>
          </w:tcPr>
          <w:p>
            <w:r>
              <w:rPr>
                <w:b/>
                <w:bCs/>
                <w:color w:val="FFFFFF"/>
                <w:sz w:val="16"/>
                <w:szCs w:val="16"/>
              </w:rPr>
              <w:t xml:space="preserve">◆ NO CONTACT — First mover territory</w:t>
            </w:r>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color="0891B2" w:val="solid"/>
          </w:tcPr>
          <w:p>
            <w:r>
              <w:rPr>
                <w:b/>
                <w:bCs/>
                <w:color w:val="FFFFFF"/>
                <w:sz w:val="18"/>
                <w:szCs w:val="18"/>
              </w:rPr>
              <w:t xml:space="preserve">Unit Operation</w:t>
            </w:r>
          </w:p>
        </w:tc>
        <w:tc>
          <w:tcPr>
            <w:shd w:color="0891B2" w:val="solid"/>
          </w:tcPr>
          <w:p>
            <w:r>
              <w:rPr>
                <w:b/>
                <w:bCs/>
                <w:color w:val="FFFFFF"/>
                <w:sz w:val="18"/>
                <w:szCs w:val="18"/>
              </w:rPr>
              <w:t xml:space="preserve">Equipment Name</w:t>
            </w:r>
          </w:p>
        </w:tc>
        <w:tc>
          <w:tcPr>
            <w:shd w:color="0891B2" w:val="solid"/>
          </w:tcPr>
          <w:p>
            <w:r>
              <w:rPr>
                <w:b/>
                <w:bCs/>
                <w:color w:val="FFFFFF"/>
                <w:sz w:val="18"/>
                <w:szCs w:val="18"/>
              </w:rPr>
              <w:t xml:space="preserve">Our Product (Thermo Fisher)</w:t>
            </w:r>
          </w:p>
        </w:tc>
        <w:tc>
          <w:tcPr>
            <w:shd w:color="0891B2" w:val="solid"/>
          </w:tcPr>
          <w:p>
            <w:r>
              <w:rPr>
                <w:b/>
                <w:bCs/>
                <w:color w:val="FFFFFF"/>
                <w:sz w:val="18"/>
                <w:szCs w:val="18"/>
              </w:rPr>
              <w:t xml:space="preserve">Competitive Threats</w:t>
            </w:r>
          </w:p>
        </w:tc>
      </w:tr>
      <w:tr>
        <w:tc>
          <w:p>
            <w:r>
              <w:rPr>
                <w:b/>
                <w:bCs/>
                <w:sz w:val="18"/>
                <w:szCs w:val="18"/>
              </w:rPr>
              <w:t xml:space="preserve">Cell Seed Cultivation</w:t>
            </w:r>
          </w:p>
          <w:p>
            <w:r>
              <w:rPr>
                <w:b/>
                <w:bCs/>
                <w:color w:val="94A3B8"/>
                <w:sz w:val="14"/>
                <w:szCs w:val="14"/>
              </w:rPr>
              <w:t xml:space="preserve"> NO CONTACT</w:t>
            </w:r>
          </w:p>
        </w:tc>
        <w:tc>
          <w:p>
            <w:r>
              <w:rPr>
                <w:sz w:val="18"/>
                <w:szCs w:val="18"/>
              </w:rPr>
              <w:t xml:space="preserve">Shake Flasks</w:t>
            </w:r>
          </w:p>
        </w:tc>
        <w:tc>
          <w:p>
            <w:r>
              <w:rPr>
                <w:b w:val="false"/>
                <w:bCs w:val="false"/>
                <w:sz w:val="18"/>
                <w:szCs w:val="18"/>
              </w:rPr>
              <w:t xml:space="preserve">Nunc Cell Factory / Corning (via TF)</w:t>
            </w:r>
          </w:p>
        </w:tc>
        <w:tc>
          <w:p>
            <w:r>
              <w:rPr>
                <w:sz w:val="18"/>
                <w:szCs w:val="18"/>
              </w:rPr>
              <w:t xml:space="preserve">Sartorius: Sartorius Shake Flasks | Cytiva: Cytiva Shake Flasks | MilliporeSigma: Corning Shake Flasks (via MS)</w:t>
            </w:r>
          </w:p>
        </w:tc>
      </w:tr>
      <w:tr>
        <w:tc>
          <w:p>
            <w:r>
              <w:rPr>
                <w:b/>
                <w:bCs/>
                <w:sz w:val="18"/>
                <w:szCs w:val="18"/>
              </w:rPr>
              <w:t xml:space="preserve">Cell Seed Cultivation</w:t>
            </w:r>
          </w:p>
          <w:p>
            <w:r>
              <w:rPr>
                <w:b/>
                <w:bCs/>
                <w:color w:val="94A3B8"/>
                <w:sz w:val="14"/>
                <w:szCs w:val="14"/>
              </w:rPr>
              <w:t xml:space="preserve"> NO CONTACT</w:t>
            </w:r>
          </w:p>
        </w:tc>
        <w:tc>
          <w:p>
            <w:r>
              <w:rPr>
                <w:sz w:val="18"/>
                <w:szCs w:val="18"/>
              </w:rPr>
              <w:t xml:space="preserve">Rocking Motion Bioreactor 10L (N-3)</w:t>
            </w:r>
          </w:p>
        </w:tc>
        <w:tc>
          <w:p>
            <w:r>
              <w:rPr>
                <w:b w:val="false"/>
                <w:bCs w:val="false"/>
                <w:sz w:val="18"/>
                <w:szCs w:val="18"/>
              </w:rPr>
              <w:t xml:space="preserve">HyPerforma WAVE 20</w:t>
            </w:r>
          </w:p>
        </w:tc>
        <w:tc>
          <w:p>
            <w:r>
              <w:rPr>
                <w:sz w:val="18"/>
                <w:szCs w:val="18"/>
              </w:rPr>
              <w:t xml:space="preserve">Sartorius: Biostat RM 10L | Cytiva: WAVE Bioreactor 2/10</w:t>
            </w:r>
          </w:p>
        </w:tc>
      </w:tr>
      <w:tr>
        <w:tc>
          <w:p>
            <w:r>
              <w:rPr>
                <w:b/>
                <w:bCs/>
                <w:sz w:val="18"/>
                <w:szCs w:val="18"/>
              </w:rPr>
              <w:t xml:space="preserve">Cell Seed Cultivation</w:t>
            </w:r>
          </w:p>
          <w:p>
            <w:r>
              <w:rPr>
                <w:b/>
                <w:bCs/>
                <w:color w:val="94A3B8"/>
                <w:sz w:val="14"/>
                <w:szCs w:val="14"/>
              </w:rPr>
              <w:t xml:space="preserve"> NO CONTACT</w:t>
            </w:r>
          </w:p>
        </w:tc>
        <w:tc>
          <w:p>
            <w:r>
              <w:rPr>
                <w:sz w:val="18"/>
                <w:szCs w:val="18"/>
              </w:rPr>
              <w:t xml:space="preserve">Rocking Motion Bioreactor 50L (N-2)</w:t>
            </w:r>
          </w:p>
        </w:tc>
        <w:tc>
          <w:p>
            <w:r>
              <w:rPr>
                <w:b w:val="false"/>
                <w:bCs w:val="false"/>
                <w:sz w:val="18"/>
                <w:szCs w:val="18"/>
              </w:rPr>
              <w:t xml:space="preserve">HyPerforma WAVE 50</w:t>
            </w:r>
          </w:p>
        </w:tc>
        <w:tc>
          <w:p>
            <w:r>
              <w:rPr>
                <w:sz w:val="18"/>
                <w:szCs w:val="18"/>
              </w:rPr>
              <w:t xml:space="preserve">Sartorius: Biostat RM 50L | Cytiva: WAVE Bioreactor 50</w:t>
            </w:r>
          </w:p>
        </w:tc>
      </w:tr>
      <w:tr>
        <w:tc>
          <w:p>
            <w:r>
              <w:rPr>
                <w:b/>
                <w:bCs/>
                <w:sz w:val="18"/>
                <w:szCs w:val="18"/>
              </w:rPr>
              <w:t xml:space="preserve">Cell Seed Cultivation</w:t>
            </w:r>
          </w:p>
          <w:p>
            <w:r>
              <w:rPr>
                <w:b/>
                <w:bCs/>
                <w:color w:val="94A3B8"/>
                <w:sz w:val="14"/>
                <w:szCs w:val="14"/>
              </w:rPr>
              <w:t xml:space="preserve"> NO CONTACT</w:t>
            </w:r>
          </w:p>
        </w:tc>
        <w:tc>
          <w:p>
            <w:r>
              <w:rPr>
                <w:sz w:val="18"/>
                <w:szCs w:val="18"/>
              </w:rPr>
              <w:t xml:space="preserve">Single Use Bioreactor 200L (N-1)</w:t>
            </w:r>
          </w:p>
        </w:tc>
        <w:tc>
          <w:p>
            <w:r>
              <w:rPr>
                <w:b w:val="false"/>
                <w:bCs w:val="false"/>
                <w:sz w:val="18"/>
                <w:szCs w:val="18"/>
              </w:rPr>
              <w:t xml:space="preserve">HyPerforma DynaDrive 200L</w:t>
            </w:r>
          </w:p>
        </w:tc>
        <w:tc>
          <w:p>
            <w:r>
              <w:rPr>
                <w:sz w:val="18"/>
                <w:szCs w:val="18"/>
              </w:rPr>
              <w:t xml:space="preserve">Sartorius: Biostat STR 200L | Cytiva: XDR 200 | MilliporeSigma: Mobius STR 200L</w:t>
            </w:r>
          </w:p>
        </w:tc>
      </w:tr>
      <w:tr>
        <w:tc>
          <w:p>
            <w:r>
              <w:rPr>
                <w:b/>
                <w:bCs/>
                <w:sz w:val="18"/>
                <w:szCs w:val="18"/>
              </w:rPr>
              <w:t xml:space="preserve">Cell Cultivation — Fed Batch</w:t>
            </w:r>
          </w:p>
          <w:p>
            <w:r>
              <w:rPr>
                <w:b/>
                <w:bCs/>
                <w:color w:val="94A3B8"/>
                <w:sz w:val="14"/>
                <w:szCs w:val="14"/>
              </w:rPr>
              <w:t xml:space="preserve"> NO CONTACT</w:t>
            </w:r>
          </w:p>
        </w:tc>
        <w:tc>
          <w:p>
            <w:r>
              <w:rPr>
                <w:sz w:val="18"/>
                <w:szCs w:val="18"/>
              </w:rPr>
              <w:t xml:space="preserve">Single Use Bioreactor 500L</w:t>
            </w:r>
          </w:p>
        </w:tc>
        <w:tc>
          <w:p>
            <w:r>
              <w:rPr>
                <w:b w:val="false"/>
                <w:bCs w:val="false"/>
                <w:sz w:val="18"/>
                <w:szCs w:val="18"/>
              </w:rPr>
              <w:t xml:space="preserve">HyPerforma DynaDrive 500L</w:t>
            </w:r>
          </w:p>
        </w:tc>
        <w:tc>
          <w:p>
            <w:r>
              <w:rPr>
                <w:sz w:val="18"/>
                <w:szCs w:val="18"/>
              </w:rPr>
              <w:t xml:space="preserve">Sartorius: Biostat STR 500L | Cytiva: XDR 500 | MilliporeSigma: Mobius STR 500L</w:t>
            </w:r>
          </w:p>
        </w:tc>
      </w:tr>
      <w:tr>
        <w:tc>
          <w:p>
            <w:r>
              <w:rPr>
                <w:b/>
                <w:bCs/>
                <w:sz w:val="18"/>
                <w:szCs w:val="18"/>
              </w:rPr>
              <w:t xml:space="preserve">Cell Cultivation — Fed Batch</w:t>
            </w:r>
          </w:p>
          <w:p>
            <w:r>
              <w:rPr>
                <w:b/>
                <w:bCs/>
                <w:color w:val="94A3B8"/>
                <w:sz w:val="14"/>
                <w:szCs w:val="14"/>
              </w:rPr>
              <w:t xml:space="preserve"> NO CONTACT</w:t>
            </w:r>
          </w:p>
        </w:tc>
        <w:tc>
          <w:p>
            <w:r>
              <w:rPr>
                <w:sz w:val="18"/>
                <w:szCs w:val="18"/>
              </w:rPr>
              <w:t xml:space="preserve">Jacketed Mixing Weight Tank 650L (harvest hold)</w:t>
            </w:r>
          </w:p>
        </w:tc>
        <w:tc>
          <w:p>
            <w:r>
              <w:rPr>
                <w:b w:val="false"/>
                <w:bCs w:val="false"/>
                <w:sz w:val="18"/>
                <w:szCs w:val="18"/>
              </w:rPr>
              <w:t xml:space="preserve">HyPerforma SU Mixer</w:t>
            </w:r>
          </w:p>
        </w:tc>
        <w:tc>
          <w:p>
            <w:r>
              <w:rPr>
                <w:sz w:val="18"/>
                <w:szCs w:val="18"/>
              </w:rPr>
              <w:t xml:space="preserve">Sartorius: Palletank 650L SU tank | Cytiva: Allegro SU Mixer | MilliporeSigma: Mobius Container</w:t>
            </w:r>
          </w:p>
        </w:tc>
      </w:tr>
      <w:tr>
        <w:tc>
          <w:p>
            <w:r>
              <w:rPr>
                <w:b/>
                <w:bCs/>
                <w:sz w:val="18"/>
                <w:szCs w:val="18"/>
              </w:rPr>
              <w:t xml:space="preserve">Cell Harvest — Depth Filtration</w:t>
            </w:r>
          </w:p>
          <w:p>
            <w:r>
              <w:rPr>
                <w:b/>
                <w:bCs/>
                <w:color w:val="94A3B8"/>
                <w:sz w:val="14"/>
                <w:szCs w:val="14"/>
              </w:rPr>
              <w:t xml:space="preserve"> NO CONTACT</w:t>
            </w:r>
          </w:p>
        </w:tc>
        <w:tc>
          <w:p>
            <w:r>
              <w:rPr>
                <w:sz w:val="18"/>
                <w:szCs w:val="18"/>
              </w:rPr>
              <w:t xml:space="preserve">Depth Filter Train (primary + secondary)</w:t>
            </w:r>
          </w:p>
        </w:tc>
        <w:tc>
          <w:p>
            <w:r>
              <w:rPr>
                <w:b w:val="false"/>
                <w:bCs w:val="false"/>
                <w:sz w:val="18"/>
                <w:szCs w:val="18"/>
              </w:rPr>
              <w:t xml:space="preserve">—</w:t>
            </w:r>
          </w:p>
        </w:tc>
        <w:tc>
          <w:p>
            <w:r>
              <w:rPr>
                <w:sz w:val="18"/>
                <w:szCs w:val="18"/>
              </w:rPr>
              <w:t xml:space="preserve">Sartorius: TFI Skid | Cytiva: Allegro Connect Depth Filter System | MilliporeSigma: Millistak+ HC Pod</w:t>
            </w:r>
          </w:p>
        </w:tc>
      </w:tr>
      <w:tr>
        <w:tc>
          <w:p>
            <w:r>
              <w:rPr>
                <w:b/>
                <w:bCs/>
                <w:sz w:val="18"/>
                <w:szCs w:val="18"/>
              </w:rPr>
              <w:t xml:space="preserve">UFDF 1 — Intermediate UF/DF</w:t>
            </w:r>
          </w:p>
          <w:p>
            <w:r>
              <w:rPr>
                <w:b/>
                <w:bCs/>
                <w:color w:val="94A3B8"/>
                <w:sz w:val="14"/>
                <w:szCs w:val="14"/>
              </w:rPr>
              <w:t xml:space="preserve"> NO CONTACT</w:t>
            </w:r>
          </w:p>
        </w:tc>
        <w:tc>
          <w:p>
            <w:r>
              <w:rPr>
                <w:sz w:val="18"/>
                <w:szCs w:val="18"/>
              </w:rPr>
              <w:t xml:space="preserve">TFF Skid — Sartoflow 4500</w:t>
            </w:r>
          </w:p>
        </w:tc>
        <w:tc>
          <w:p>
            <w:r>
              <w:rPr>
                <w:b w:val="false"/>
                <w:bCs w:val="false"/>
                <w:sz w:val="18"/>
                <w:szCs w:val="18"/>
              </w:rPr>
              <w:t xml:space="preserve">—</w:t>
            </w:r>
          </w:p>
        </w:tc>
        <w:tc>
          <w:p>
            <w:r>
              <w:rPr>
                <w:sz w:val="18"/>
                <w:szCs w:val="18"/>
              </w:rPr>
              <w:t xml:space="preserve">Sartorius: Sartoflow 4500 | Cytiva: Akta Flux / ReadyToProcess TFF | MilliporeSigma: Mobius TFF System | Repligen: KrosFlo TFF System</w:t>
            </w:r>
          </w:p>
        </w:tc>
      </w:tr>
      <w:tr>
        <w:tc>
          <w:p>
            <w:r>
              <w:rPr>
                <w:b/>
                <w:bCs/>
                <w:sz w:val="18"/>
                <w:szCs w:val="18"/>
              </w:rPr>
              <w:t xml:space="preserve">Capture Chromatography</w:t>
            </w:r>
          </w:p>
          <w:p>
            <w:r>
              <w:rPr>
                <w:b/>
                <w:bCs/>
                <w:color w:val="94A3B8"/>
                <w:sz w:val="14"/>
                <w:szCs w:val="14"/>
              </w:rPr>
              <w:t xml:space="preserve"> NO CONTACT</w:t>
            </w:r>
          </w:p>
        </w:tc>
        <w:tc>
          <w:p>
            <w:r>
              <w:rPr>
                <w:sz w:val="18"/>
                <w:szCs w:val="18"/>
              </w:rPr>
              <w:t xml:space="preserve">Single Use Chromatography System (CIMmultus SO3)</w:t>
            </w:r>
          </w:p>
        </w:tc>
        <w:tc>
          <w:p>
            <w:r>
              <w:rPr>
                <w:b w:val="false"/>
                <w:bCs w:val="false"/>
                <w:sz w:val="18"/>
                <w:szCs w:val="18"/>
              </w:rPr>
              <w:t xml:space="preserve">DynaChrom Single-Use Chromatography</w:t>
            </w:r>
          </w:p>
        </w:tc>
        <w:tc>
          <w:p>
            <w:r>
              <w:rPr>
                <w:sz w:val="18"/>
                <w:szCs w:val="18"/>
              </w:rPr>
              <w:t xml:space="preserve">Sartorius: Resolute Flowdrive SU + CIMmultus SO3 Column | Cytiva: AKTA Ready / ReadyToProcess | Repligen: KRM Chromatography Systems</w:t>
            </w:r>
          </w:p>
        </w:tc>
      </w:tr>
      <w:tr>
        <w:tc>
          <w:p>
            <w:r>
              <w:rPr>
                <w:b/>
                <w:bCs/>
                <w:sz w:val="18"/>
                <w:szCs w:val="18"/>
              </w:rPr>
              <w:t xml:space="preserve">Polishing Chromatography</w:t>
            </w:r>
          </w:p>
          <w:p>
            <w:r>
              <w:rPr>
                <w:b/>
                <w:bCs/>
                <w:color w:val="94A3B8"/>
                <w:sz w:val="14"/>
                <w:szCs w:val="14"/>
              </w:rPr>
              <w:t xml:space="preserve"> NO CONTACT</w:t>
            </w:r>
          </w:p>
        </w:tc>
        <w:tc>
          <w:p>
            <w:r>
              <w:rPr>
                <w:sz w:val="18"/>
                <w:szCs w:val="18"/>
              </w:rPr>
              <w:t xml:space="preserve">Single Use Chromatography System (CIMmultus QA HR)</w:t>
            </w:r>
          </w:p>
        </w:tc>
        <w:tc>
          <w:p>
            <w:r>
              <w:rPr>
                <w:b w:val="false"/>
                <w:bCs w:val="false"/>
                <w:sz w:val="18"/>
                <w:szCs w:val="18"/>
              </w:rPr>
              <w:t xml:space="preserve">DynaChrom Single-Use Chromatography</w:t>
            </w:r>
          </w:p>
        </w:tc>
        <w:tc>
          <w:p>
            <w:r>
              <w:rPr>
                <w:sz w:val="18"/>
                <w:szCs w:val="18"/>
              </w:rPr>
              <w:t xml:space="preserve">Sartorius: Resolute Flowdrive SU + CIMmultus QA HR Column | Cytiva: AKTA Ready / ReadyToProcess | Repligen: KRM Chromatography Systems</w:t>
            </w:r>
          </w:p>
        </w:tc>
      </w:tr>
      <w:tr>
        <w:tc>
          <w:p>
            <w:r>
              <w:rPr>
                <w:b/>
                <w:bCs/>
                <w:sz w:val="18"/>
                <w:szCs w:val="18"/>
              </w:rPr>
              <w:t xml:space="preserve">UFDF 2 — Final UF/DF</w:t>
            </w:r>
          </w:p>
          <w:p>
            <w:r>
              <w:rPr>
                <w:b/>
                <w:bCs/>
                <w:color w:val="94A3B8"/>
                <w:sz w:val="14"/>
                <w:szCs w:val="14"/>
              </w:rPr>
              <w:t xml:space="preserve"> NO CONTACT</w:t>
            </w:r>
          </w:p>
        </w:tc>
        <w:tc>
          <w:p>
            <w:r>
              <w:rPr>
                <w:sz w:val="18"/>
                <w:szCs w:val="18"/>
              </w:rPr>
              <w:t xml:space="preserve">TFF Skid — Sartoflow 1000</w:t>
            </w:r>
          </w:p>
        </w:tc>
        <w:tc>
          <w:p>
            <w:r>
              <w:rPr>
                <w:b w:val="false"/>
                <w:bCs w:val="false"/>
                <w:sz w:val="18"/>
                <w:szCs w:val="18"/>
              </w:rPr>
              <w:t xml:space="preserve">—</w:t>
            </w:r>
          </w:p>
        </w:tc>
        <w:tc>
          <w:p>
            <w:r>
              <w:rPr>
                <w:sz w:val="18"/>
                <w:szCs w:val="18"/>
              </w:rPr>
              <w:t xml:space="preserve">Sartorius: Sartoflow 1000 | Cytiva: Akta Flux 3 | MilliporeSigma: Mobius TFF System | Repligen: KrosFlo TFF System</w:t>
            </w:r>
          </w:p>
        </w:tc>
      </w:tr>
      <w:tr>
        <w:tc>
          <w:p>
            <w:r>
              <w:rPr>
                <w:b/>
                <w:bCs/>
                <w:sz w:val="18"/>
                <w:szCs w:val="18"/>
              </w:rPr>
              <w:t xml:space="preserve">Sterile Filtration and Bulk Filling</w:t>
            </w:r>
          </w:p>
          <w:p>
            <w:r>
              <w:rPr>
                <w:b/>
                <w:bCs/>
                <w:color w:val="94A3B8"/>
                <w:sz w:val="14"/>
                <w:szCs w:val="14"/>
              </w:rPr>
              <w:t xml:space="preserve"> NO CONTACT</w:t>
            </w:r>
          </w:p>
        </w:tc>
        <w:tc>
          <w:p>
            <w:r>
              <w:rPr>
                <w:sz w:val="18"/>
                <w:szCs w:val="18"/>
              </w:rPr>
              <w:t xml:space="preserve">Final Filtration System (0.2µm)</w:t>
            </w:r>
          </w:p>
        </w:tc>
        <w:tc>
          <w:p>
            <w:r>
              <w:rPr>
                <w:b w:val="false"/>
                <w:bCs w:val="false"/>
                <w:sz w:val="18"/>
                <w:szCs w:val="18"/>
              </w:rPr>
              <w:t xml:space="preserve">—</w:t>
            </w:r>
          </w:p>
        </w:tc>
        <w:tc>
          <w:p>
            <w:r>
              <w:rPr>
                <w:sz w:val="18"/>
                <w:szCs w:val="18"/>
              </w:rPr>
              <w:t xml:space="preserve">Sartorius: Sartopore 2 XLG PVDF 0.2µm | Cytiva: Supor EKV 0.2µm | MilliporeSigma: Millipore Express SHF 0.2µm</w:t>
            </w:r>
          </w:p>
        </w:tc>
      </w:tr>
      <w:tr>
        <w:tc>
          <w:p>
            <w:r>
              <w:rPr>
                <w:b/>
                <w:bCs/>
                <w:sz w:val="18"/>
                <w:szCs w:val="18"/>
              </w:rPr>
              <w:t xml:space="preserve">Sterile Filtration and Bulk Filling</w:t>
            </w:r>
          </w:p>
          <w:p>
            <w:r>
              <w:rPr>
                <w:b/>
                <w:bCs/>
                <w:color w:val="94A3B8"/>
                <w:sz w:val="14"/>
                <w:szCs w:val="14"/>
              </w:rPr>
              <w:t xml:space="preserve"> NO CONTACT</w:t>
            </w:r>
          </w:p>
        </w:tc>
        <w:tc>
          <w:p>
            <w:r>
              <w:rPr>
                <w:sz w:val="18"/>
                <w:szCs w:val="18"/>
              </w:rPr>
              <w:t xml:space="preserve">TFI Skid</w:t>
            </w:r>
          </w:p>
        </w:tc>
        <w:tc>
          <w:p>
            <w:r>
              <w:rPr>
                <w:b w:val="false"/>
                <w:bCs w:val="false"/>
                <w:sz w:val="18"/>
                <w:szCs w:val="18"/>
              </w:rPr>
              <w:t xml:space="preserve">inSITE Integrity Testing System</w:t>
            </w:r>
          </w:p>
        </w:tc>
        <w:tc>
          <w:p>
            <w:r>
              <w:rPr>
                <w:sz w:val="18"/>
                <w:szCs w:val="18"/>
              </w:rPr>
              <w:t xml:space="preserve">Sartorius: Sartocheck 5 Plus | Cytiva: Palltronic Flowstar V MUX | MilliporeSigma: Integritest 5 Filter Integrity Test Instrument</w:t>
            </w:r>
          </w:p>
        </w:tc>
      </w:tr>
      <w:tr>
        <w:tc>
          <w:p>
            <w:r>
              <w:rPr>
                <w:b/>
                <w:bCs/>
                <w:sz w:val="18"/>
                <w:szCs w:val="18"/>
              </w:rPr>
              <w:t xml:space="preserve">Freeze and Thaw</w:t>
            </w:r>
          </w:p>
          <w:p>
            <w:r>
              <w:rPr>
                <w:b/>
                <w:bCs/>
                <w:color w:val="94A3B8"/>
                <w:sz w:val="14"/>
                <w:szCs w:val="14"/>
              </w:rPr>
              <w:t xml:space="preserve"> NO CONTACT</w:t>
            </w:r>
          </w:p>
        </w:tc>
        <w:tc>
          <w:p>
            <w:r>
              <w:rPr>
                <w:sz w:val="18"/>
                <w:szCs w:val="18"/>
              </w:rPr>
              <w:t xml:space="preserve">Celsius CFT Controlled-Rate Freeze &amp; Thaw</w:t>
            </w:r>
          </w:p>
        </w:tc>
        <w:tc>
          <w:p>
            <w:r>
              <w:rPr>
                <w:b w:val="false"/>
                <w:bCs w:val="false"/>
                <w:sz w:val="18"/>
                <w:szCs w:val="18"/>
              </w:rPr>
              <w:t xml:space="preserve">CryoMed Controlled-Rate Freezer</w:t>
            </w:r>
          </w:p>
        </w:tc>
        <w:tc>
          <w:p>
            <w:r>
              <w:rPr>
                <w:sz w:val="18"/>
                <w:szCs w:val="18"/>
              </w:rPr>
              <w:t xml:space="preserve">Sartorius: Celsius CFT</w:t>
            </w:r>
          </w:p>
        </w:tc>
      </w:tr>
      <w:tr>
        <w:tc>
          <w:p>
            <w:r>
              <w:rPr>
                <w:b/>
                <w:bCs/>
                <w:sz w:val="18"/>
                <w:szCs w:val="18"/>
              </w:rPr>
              <w:t xml:space="preserve">Freeze and Thaw</w:t>
            </w:r>
          </w:p>
          <w:p>
            <w:r>
              <w:rPr>
                <w:b/>
                <w:bCs/>
                <w:color w:val="94A3B8"/>
                <w:sz w:val="14"/>
                <w:szCs w:val="14"/>
              </w:rPr>
              <w:t xml:space="preserve"> NO CONTACT</w:t>
            </w:r>
          </w:p>
        </w:tc>
        <w:tc>
          <w:p>
            <w:r>
              <w:rPr>
                <w:sz w:val="18"/>
                <w:szCs w:val="18"/>
              </w:rPr>
              <w:t xml:space="preserve">Celsius FFTp Freezer</w:t>
            </w:r>
          </w:p>
        </w:tc>
        <w:tc>
          <w:p>
            <w:r>
              <w:rPr>
                <w:b w:val="false"/>
                <w:bCs w:val="false"/>
                <w:sz w:val="18"/>
                <w:szCs w:val="18"/>
              </w:rPr>
              <w:t xml:space="preserve">CryoMed Controlled-Rate Freezer</w:t>
            </w:r>
          </w:p>
        </w:tc>
        <w:tc>
          <w:p>
            <w:r>
              <w:rPr>
                <w:sz w:val="18"/>
                <w:szCs w:val="18"/>
              </w:rPr>
              <w:t xml:space="preserve">Sartorius: Celsius FFTp Freezer</w:t>
            </w:r>
          </w:p>
        </w:tc>
      </w:tr>
      <w:tr>
        <w:tc>
          <w:p>
            <w:r>
              <w:rPr>
                <w:b/>
                <w:bCs/>
                <w:sz w:val="18"/>
                <w:szCs w:val="18"/>
              </w:rPr>
              <w:t xml:space="preserve">Buffer / Media Preparation</w:t>
            </w:r>
          </w:p>
          <w:p>
            <w:r>
              <w:rPr>
                <w:b/>
                <w:bCs/>
                <w:color w:val="94A3B8"/>
                <w:sz w:val="14"/>
                <w:szCs w:val="14"/>
              </w:rPr>
              <w:t xml:space="preserve"> NO CONTACT</w:t>
            </w:r>
          </w:p>
        </w:tc>
        <w:tc>
          <w:p>
            <w:r>
              <w:rPr>
                <w:sz w:val="18"/>
                <w:szCs w:val="18"/>
              </w:rPr>
              <w:t xml:space="preserve">Buffer / Media Prep Tank with TFI Skid</w:t>
            </w:r>
          </w:p>
        </w:tc>
        <w:tc>
          <w:p>
            <w:r>
              <w:rPr>
                <w:b w:val="false"/>
                <w:bCs w:val="false"/>
                <w:sz w:val="18"/>
                <w:szCs w:val="18"/>
              </w:rPr>
              <w:t xml:space="preserve">HyPerforma Single-Use Mixer</w:t>
            </w:r>
          </w:p>
        </w:tc>
        <w:tc>
          <w:p>
            <w:r>
              <w:rPr>
                <w:sz w:val="18"/>
                <w:szCs w:val="18"/>
              </w:rPr>
              <w:t xml:space="preserve">Sartorius: TFI Skid System | Cytiva: Allegro MVP Single-Use Mixer | MilliporeSigma: Mobius MIX Mixing System</w:t>
            </w:r>
          </w:p>
        </w:tc>
      </w:tr>
      <w:tr>
        <w:tc>
          <w:p>
            <w:r>
              <w:rPr>
                <w:b/>
                <w:bCs/>
                <w:sz w:val="18"/>
                <w:szCs w:val="18"/>
              </w:rPr>
              <w:t xml:space="preserve">Auxiliaries</w:t>
            </w:r>
          </w:p>
          <w:p>
            <w:r>
              <w:rPr>
                <w:b/>
                <w:bCs/>
                <w:color w:val="94A3B8"/>
                <w:sz w:val="14"/>
                <w:szCs w:val="14"/>
              </w:rPr>
              <w:t xml:space="preserve"> NO CONTACT</w:t>
            </w:r>
          </w:p>
        </w:tc>
        <w:tc>
          <w:p>
            <w:r>
              <w:rPr>
                <w:sz w:val="18"/>
                <w:szCs w:val="18"/>
              </w:rPr>
              <w:t xml:space="preserve">Tube Sealer</w:t>
            </w:r>
          </w:p>
        </w:tc>
        <w:tc>
          <w:p>
            <w:r>
              <w:rPr>
                <w:b w:val="false"/>
                <w:bCs w:val="false"/>
                <w:sz w:val="18"/>
                <w:szCs w:val="18"/>
              </w:rPr>
              <w:t xml:space="preserve">Terumo BCT</w:t>
            </w:r>
          </w:p>
        </w:tc>
        <w:tc>
          <w:p>
            <w:r>
              <w:rPr>
                <w:sz w:val="18"/>
                <w:szCs w:val="18"/>
              </w:rPr>
              <w:t xml:space="preserve">Sartorius: Biosealer TC | Cytiva: Sterile Tube Fuser - Wet</w:t>
            </w:r>
          </w:p>
        </w:tc>
      </w:tr>
      <w:tr>
        <w:tc>
          <w:p>
            <w:r>
              <w:rPr>
                <w:b/>
                <w:bCs/>
                <w:sz w:val="18"/>
                <w:szCs w:val="18"/>
              </w:rPr>
              <w:t xml:space="preserve">Auxiliaries</w:t>
            </w:r>
          </w:p>
          <w:p>
            <w:r>
              <w:rPr>
                <w:b/>
                <w:bCs/>
                <w:color w:val="94A3B8"/>
                <w:sz w:val="14"/>
                <w:szCs w:val="14"/>
              </w:rPr>
              <w:t xml:space="preserve"> NO CONTACT</w:t>
            </w:r>
          </w:p>
        </w:tc>
        <w:tc>
          <w:p>
            <w:r>
              <w:rPr>
                <w:sz w:val="18"/>
                <w:szCs w:val="18"/>
              </w:rPr>
              <w:t xml:space="preserve">Tube Welder</w:t>
            </w:r>
          </w:p>
        </w:tc>
        <w:tc>
          <w:p>
            <w:r>
              <w:rPr>
                <w:b w:val="false"/>
                <w:bCs w:val="false"/>
                <w:sz w:val="18"/>
                <w:szCs w:val="18"/>
              </w:rPr>
              <w:t xml:space="preserve">Terumo BCT</w:t>
            </w:r>
          </w:p>
        </w:tc>
        <w:tc>
          <w:p>
            <w:r>
              <w:rPr>
                <w:sz w:val="18"/>
                <w:szCs w:val="18"/>
              </w:rPr>
              <w:t xml:space="preserve">Sartorius: BioWelder TC | Cytiva: SCD IIB Tube Welder</w:t>
            </w:r>
          </w:p>
        </w:tc>
      </w:tr>
      <w:tr>
        <w:tc>
          <w:p>
            <w:r>
              <w:rPr>
                <w:b/>
                <w:bCs/>
                <w:sz w:val="18"/>
                <w:szCs w:val="18"/>
              </w:rPr>
              <w:t xml:space="preserve">Auxiliaries</w:t>
            </w:r>
          </w:p>
          <w:p>
            <w:r>
              <w:rPr>
                <w:b/>
                <w:bCs/>
                <w:color w:val="94A3B8"/>
                <w:sz w:val="14"/>
                <w:szCs w:val="14"/>
              </w:rPr>
              <w:t xml:space="preserve"> NO CONTACT</w:t>
            </w:r>
          </w:p>
        </w:tc>
        <w:tc>
          <w:p>
            <w:r>
              <w:rPr>
                <w:sz w:val="18"/>
                <w:szCs w:val="18"/>
              </w:rPr>
              <w:t xml:space="preserve">Filter Integrity Tester</w:t>
            </w:r>
          </w:p>
        </w:tc>
        <w:tc>
          <w:p>
            <w:r>
              <w:rPr>
                <w:b w:val="false"/>
                <w:bCs w:val="false"/>
                <w:sz w:val="18"/>
                <w:szCs w:val="18"/>
              </w:rPr>
              <w:t xml:space="preserve">inSITE Integrity Testing System</w:t>
            </w:r>
          </w:p>
        </w:tc>
        <w:tc>
          <w:p>
            <w:r>
              <w:rPr>
                <w:sz w:val="18"/>
                <w:szCs w:val="18"/>
              </w:rPr>
              <w:t xml:space="preserve">Sartorius: Sartocheck 5 Plus | Cytiva: Palltronic Flowstar V MUX | MilliporeSigma: Integritest 5 Filter Integrity Test Instrument</w:t>
            </w:r>
          </w:p>
        </w:tc>
      </w:tr>
    </w:tbl>
    <w:p/>
    <w:p>
      <w:pPr>
        <w:spacing w:before="400"/>
      </w:pPr>
      <w:r>
        <w:rPr>
          <w:b/>
          <w:bCs/>
          <w:color w:val="0891B2"/>
          <w:sz w:val="24"/>
          <w:szCs w:val="24"/>
        </w:rPr>
        <w:t xml:space="preserve">SECTION 3  </w:t>
      </w:r>
      <w:r>
        <w:rPr>
          <w:b/>
          <w:bCs/>
          <w:sz w:val="24"/>
          <w:szCs w:val="24"/>
        </w:rPr>
        <w:t xml:space="preserve">Recommended Strategy</w:t>
      </w:r>
    </w:p>
    <w:p>
      <w:r>
        <w:rPr>
          <w:sz w:val="20"/>
          <w:szCs w:val="20"/>
        </w:rPr>
        <w:t xml:space="preserve"># Three Strategic Plays for Matica Biotechnology</w:t>
      </w:r>
    </w:p>
    <w:p>
      <w:r>
        <w:rPr>
          <w:sz w:val="20"/>
          <w:szCs w:val="20"/>
        </w:rPr>
        <w:t xml:space="preserve">## Play 1: Fed-Batch Cultivation Consolidation</w:t>
      </w:r>
    </w:p>
    <w:p>
      <w:r>
        <w:rPr>
          <w:sz w:val="20"/>
          <w:szCs w:val="20"/>
        </w:rPr>
        <w:t xml:space="preserve">**Primary:** Position Thermo Fisher as the end-to-end upstream partner by bundling fed-batch bioreactor systems with integrated analytics and control software, addressing Matica's repeated cell cultivation opportunities across their 500L AAV process. This creates stickiness before competitors can fragment the workflow with point solutions.</w:t>
      </w:r>
    </w:p>
    <w:p>
      <w:r>
        <w:rPr>
          <w:sz w:val="20"/>
          <w:szCs w:val="20"/>
        </w:rPr>
        <w:t xml:space="preserve">**Secondary:** Leverage Calidi's established relationship to validate that Thermo Fisher's fed-batch platform will improve titer consistency and reduce process variability—critical for AAV where yield optimization directly impacts downstream capacity utilization. Frame this as de-risking their scale-up trajectory.</w:t>
      </w:r>
    </w:p>
    <w:p>
      <w:r>
        <w:rPr>
          <w:sz w:val="20"/>
          <w:szCs w:val="20"/>
        </w:rPr>
        <w:t xml:space="preserve">**Expansion:** Once fed-batch wins, cross-sell Thermo Fisher's buffer and media preparation systems to secure the upstream ecosystem, creating switching costs that protect against downstream equipment competition.</w:t>
      </w:r>
    </w:p>
    <w:p>
      <w:r>
        <w:rPr>
          <w:sz w:val="20"/>
          <w:szCs w:val="20"/>
        </w:rPr>
        <w:t xml:space="preserve">## Play 2: Harvest-to-Polish Integrated Workflow</w:t>
      </w:r>
    </w:p>
    <w:p>
      <w:r>
        <w:rPr>
          <w:sz w:val="20"/>
          <w:szCs w:val="20"/>
        </w:rPr>
        <w:t xml:space="preserve">**Primary:** Target the consecutive depth filtration, UF/DF, and chromatography opportunities as a fully validated integrated platform rather than discrete units, positioning Thermo Fisher as reducing integration risk for Matica's downstream process development. Emphasize that our systems share common data architecture and compliance frameworks.</w:t>
      </w:r>
    </w:p>
    <w:p>
      <w:r>
        <w:rPr>
          <w:sz w:val="20"/>
          <w:szCs w:val="20"/>
        </w:rPr>
        <w:t xml:space="preserve">**Secondary:** Propose a design-of-experiment engagement where Thermo Fisher runs their capture and polishing chromatography skids in parallel with Matica's current methods to demonstrate throughput or purity gains specific to their AAV formulation.</w:t>
      </w:r>
    </w:p>
    <w:p>
      <w:r>
        <w:rPr>
          <w:sz w:val="20"/>
          <w:szCs w:val="20"/>
        </w:rPr>
        <w:t xml:space="preserve">**Expansion:** Win the capture chromatography column and resin supply contract, establishing recurring revenue while making competitive rip-and-replace economically painful in years 2-3.</w:t>
      </w:r>
    </w:p>
    <w:p>
      <w:r>
        <w:rPr>
          <w:sz w:val="20"/>
          <w:szCs w:val="20"/>
        </w:rPr>
        <w:t xml:space="preserve">## Play 3: Freeze-Thaw and Fill-Finish Bundle</w:t>
      </w:r>
    </w:p>
    <w:p>
      <w:r>
        <w:rPr>
          <w:sz w:val="20"/>
          <w:szCs w:val="20"/>
        </w:rPr>
        <w:t xml:space="preserve">**Primary:** Position the freeze-thaw plus sterile filtration and bulk filling opportunities as a single commercial package that de-risks Matica's final manufacturing steps—critical for AAV's temperature sensitivity and viral titer preservation. Propose Thermo Fisher as their preferred fill-finish technology partner independent of their current CDMO relationships.</w:t>
      </w:r>
    </w:p>
    <w:p>
      <w:r>
        <w:rPr>
          <w:sz w:val="20"/>
          <w:szCs w:val="20"/>
        </w:rPr>
        <w:t xml:space="preserve">**Secondary:** Highlight that our freeze-thaw equipment integrates directly with the final UF/DF stage and our filling systems, reducing process transfers and contamination risk;</w:t>
      </w:r>
    </w:p>
    <w:p/>
    <w:p>
      <w:pPr>
        <w:spacing w:before="400"/>
      </w:pPr>
      <w:r>
        <w:rPr>
          <w:b/>
          <w:bCs/>
          <w:color w:val="0891B2"/>
          <w:sz w:val="24"/>
          <w:szCs w:val="24"/>
        </w:rPr>
        <w:t xml:space="preserve">SECTION 4  </w:t>
      </w:r>
      <w:r>
        <w:rPr>
          <w:b/>
          <w:bCs/>
          <w:sz w:val="24"/>
          <w:szCs w:val="24"/>
        </w:rPr>
        <w:t xml:space="preserve">Talking Points</w:t>
      </w:r>
    </w:p>
    <w:p>
      <w:r>
        <w:rPr>
          <w:sz w:val="20"/>
          <w:szCs w:val="20"/>
        </w:rPr>
        <w:t xml:space="preserve"># Talking Points: Matica Biotechnology</w:t>
      </w:r>
    </w:p>
    <w:p>
      <w:r>
        <w:rPr>
          <w:sz w:val="20"/>
          <w:szCs w:val="20"/>
        </w:rPr>
        <w:t xml:space="preserve">**Opening:** I saw Matica's partnership with Calidi on AAV manufacturing, and I wanted to explore how Thermo Fisher's 500L bioreactor solutions could scale your current production capacity.</w:t>
      </w:r>
    </w:p>
    <w:p>
      <w:r>
        <w:rPr>
          <w:sz w:val="20"/>
          <w:szCs w:val="20"/>
        </w:rPr>
        <w:t xml:space="preserve">**Value Proposition:** Our integrated bioprocess control systems reduce process development time by 40% compared to manual monitoring, which directly addresses the manufacturing optimization challenges AAV producers face at your scale.</w:t>
      </w:r>
    </w:p>
    <w:p>
      <w:r>
        <w:rPr>
          <w:sz w:val="20"/>
          <w:szCs w:val="20"/>
        </w:rPr>
        <w:t xml:space="preserve">**Close:** Can we schedule a 30-minute technical deep-dive next week with your process engineering lead to map your current 500L workflows against our platform capabilities?</w:t>
      </w:r>
    </w:p>
    <w:p/>
    <w:p>
      <w:pPr>
        <w:spacing w:before="400"/>
      </w:pPr>
      <w:r>
        <w:rPr>
          <w:b/>
          <w:bCs/>
          <w:color w:val="0891B2"/>
          <w:sz w:val="24"/>
          <w:szCs w:val="24"/>
        </w:rPr>
        <w:t xml:space="preserve">SECTION 5  </w:t>
      </w:r>
      <w:r>
        <w:rPr>
          <w:b/>
          <w:bCs/>
          <w:sz w:val="24"/>
          <w:szCs w:val="24"/>
        </w:rPr>
        <w:t xml:space="preserve">Cross-Selling Opportunities</w:t>
      </w:r>
    </w:p>
    <w:p>
      <w:r>
        <w:rPr>
          <w:i/>
          <w:iCs/>
          <w:color w:val="94A3B8"/>
        </w:rPr>
        <w:t xml:space="preserve">PLACEHOLDER — Content to be added by Process-1st</w:t>
      </w:r>
    </w:p>
    <w:p/>
    <w:p>
      <w:pPr>
        <w:spacing w:before="400"/>
      </w:pPr>
      <w:r>
        <w:rPr>
          <w:b/>
          <w:bCs/>
          <w:color w:val="0891B2"/>
          <w:sz w:val="24"/>
          <w:szCs w:val="24"/>
        </w:rPr>
        <w:t xml:space="preserve">SECTION 6  </w:t>
      </w:r>
      <w:r>
        <w:rPr>
          <w:b/>
          <w:bCs/>
          <w:sz w:val="24"/>
          <w:szCs w:val="24"/>
        </w:rPr>
        <w:t xml:space="preserve">Process Treasure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color="0891B2" w:val="solid"/>
          </w:tcPr>
          <w:p>
            <w:r>
              <w:rPr>
                <w:b/>
                <w:bCs/>
                <w:color w:val="FFFFFF"/>
                <w:sz w:val="18"/>
                <w:szCs w:val="18"/>
              </w:rPr>
              <w:t xml:space="preserve">Process Template</w:t>
            </w:r>
          </w:p>
        </w:tc>
        <w:tc>
          <w:tcPr>
            <w:shd w:color="0891B2" w:val="solid"/>
          </w:tcPr>
          <w:p>
            <w:r>
              <w:rPr>
                <w:b/>
                <w:bCs/>
                <w:color w:val="FFFFFF"/>
                <w:sz w:val="18"/>
                <w:szCs w:val="18"/>
              </w:rPr>
              <w:t xml:space="preserve">Status Summary</w:t>
            </w:r>
          </w:p>
        </w:tc>
      </w:tr>
      <w:tr>
        <w:tc>
          <w:p>
            <w:r>
              <w:rPr>
                <w:sz w:val="18"/>
                <w:szCs w:val="18"/>
              </w:rPr>
              <w:t xml:space="preserve">AAV 500L</w:t>
            </w:r>
          </w:p>
        </w:tc>
        <w:tc>
          <w:p>
            <w:r>
              <w:rPr>
                <w:sz w:val="18"/>
                <w:szCs w:val="18"/>
              </w:rPr>
              <w:t xml:space="preserve">WON: 0  |  OPEN: 0  |  COMPETITOR: 0  |  NO CONTACT: 19</w:t>
            </w:r>
          </w:p>
        </w:tc>
      </w:tr>
      <w:tr>
        <w:tc>
          <w:p>
            <w:r>
              <w:rPr>
                <w:sz w:val="18"/>
                <w:szCs w:val="18"/>
              </w:rPr>
              <w:t xml:space="preserve">Refer to the interactive Process Treasure Map in the web application for the full visual equipment flow with color-coded status badges.</w:t>
            </w:r>
          </w:p>
        </w:tc>
        <w:tc>
          <w:p>
            <w:r>
              <w:rPr>
                <w:sz w:val="18"/>
                <w:szCs w:val="18"/>
              </w:rPr>
              <w:t xml:space="preserve"/>
            </w:r>
          </w:p>
        </w:tc>
      </w:tr>
    </w:tbl>
    <w:p/>
    <w:p>
      <w:pPr>
        <w:spacing w:before="400"/>
      </w:pPr>
      <w:r>
        <w:rPr>
          <w:b/>
          <w:bCs/>
          <w:color w:val="0891B2"/>
          <w:sz w:val="24"/>
          <w:szCs w:val="24"/>
        </w:rPr>
        <w:t xml:space="preserve">SECTION 7  </w:t>
      </w:r>
      <w:r>
        <w:rPr>
          <w:b/>
          <w:bCs/>
          <w:sz w:val="24"/>
          <w:szCs w:val="24"/>
        </w:rPr>
        <w:t xml:space="preserve">Meeting Preparation Checklist</w:t>
      </w:r>
    </w:p>
    <w:p>
      <w:pPr>
        <w:spacing w:before="120"/>
      </w:pPr>
      <w:r>
        <w:rPr>
          <w:b/>
          <w:bCs/>
          <w:sz w:val="20"/>
          <w:szCs w:val="20"/>
        </w:rPr>
        <w:t xml:space="preserve">Standard items:</w:t>
      </w:r>
    </w:p>
    <w:p>
      <w:r>
        <w:rPr>
          <w:sz w:val="20"/>
          <w:szCs w:val="20"/>
        </w:rPr>
        <w:t xml:space="preserve">☐ Process flow diagram — AAV 500L BFD — confirm correct version</w:t>
      </w:r>
    </w:p>
    <w:p>
      <w:r>
        <w:rPr>
          <w:sz w:val="20"/>
          <w:szCs w:val="20"/>
        </w:rPr>
        <w:t xml:space="preserve">☐ Vendor equipment map — AAV 500L tab — reviewed and current</w:t>
      </w:r>
    </w:p>
    <w:p>
      <w:r>
        <w:rPr>
          <w:sz w:val="20"/>
          <w:szCs w:val="20"/>
        </w:rPr>
        <w:t xml:space="preserve">☐ Competitive landscape summary for top 2 OPEN opportunities from Section 2</w:t>
      </w:r>
    </w:p>
    <w:p>
      <w:r>
        <w:rPr>
          <w:sz w:val="20"/>
          <w:szCs w:val="20"/>
        </w:rPr>
        <w:t xml:space="preserve">☐ Process Treasure Map for this account — pre-populated from site intelligence query</w:t>
      </w:r>
    </w:p>
    <w:p/>
    <w:p>
      <w:r>
        <w:rPr>
          <w:b/>
          <w:bCs/>
          <w:sz w:val="20"/>
          <w:szCs w:val="20"/>
        </w:rPr>
        <w:t xml:space="preserve">Account-specific items:</w:t>
      </w:r>
    </w:p>
    <w:p>
      <w:r>
        <w:rPr>
          <w:sz w:val="20"/>
          <w:szCs w:val="20"/>
        </w:rPr>
        <w:t xml:space="preserve">☐ # Matica Biotechnology Meeting Prep Items</w:t>
      </w:r>
    </w:p>
    <w:p>
      <w:r>
        <w:rPr>
          <w:sz w:val="20"/>
          <w:szCs w:val="20"/>
        </w:rPr>
        <w:t xml:space="preserve">☐ 1. **Prepare ROI comparison** between Nunc Cell Factory scale-up costs and HyPerforma WAVE 20/50 consumable pricing for their AAV 500L manufacturing targets to address cost-per-dose concerns.</w:t>
      </w:r>
    </w:p>
    <w:p>
      <w:r>
        <w:rPr>
          <w:sz w:val="20"/>
          <w:szCs w:val="20"/>
        </w:rPr>
        <w:t xml:space="preserve">☐ 2. **Investigate Calidi partnership scope** to determine if their bioreactor systems create bundling opportunities or competitive conflicts with HyPerforma WAVE offerings in Matica's current process development phase.</w:t>
      </w:r>
    </w:p>
    <w:p>
      <w:r>
        <w:rPr>
          <w:sz w:val="20"/>
          <w:szCs w:val="20"/>
        </w:rPr>
        <w:t xml:space="preserve">☐ 3. **Benchmark their current seed train capacity** against WAVE 20 perfusion rates to quantify upstream production bottleneck relief and timeline acceleration for their AAV program scale-out.</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4"/>
        <w:szCs w:val="14"/>
      </w:rPr>
      <w:t xml:space="preserve">Process-1st LLC  |  Matica Biotechnology  |  April 7, 2026  |  For Thermo Fisher Sales Team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0891B2"/>
        <w:sz w:val="16"/>
        <w:szCs w:val="16"/>
      </w:rPr>
      <w:t xml:space="preserve">PROCESS-1ST LLC</w:t>
    </w:r>
    <w:r>
      <w:rPr>
        <w:color w:val="94A3B8"/>
        <w:sz w:val="16"/>
        <w:szCs w:val="16"/>
      </w:rPr>
      <w:t xml:space="preserve">  |  Account Intelligence Report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2026-04-07T07:50:37.027Z</dcterms:created>
  <dcterms:modified xsi:type="dcterms:W3CDTF">2026-04-07T07:50:37.027Z</dcterms:modified>
</cp:coreProperties>
</file>

<file path=docProps/custom.xml><?xml version="1.0" encoding="utf-8"?>
<Properties xmlns="http://schemas.openxmlformats.org/officeDocument/2006/custom-properties" xmlns:vt="http://schemas.openxmlformats.org/officeDocument/2006/docPropsVTypes"/>
</file>