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AD411" w14:textId="10B17965" w:rsidR="004F260A" w:rsidRPr="00D30724" w:rsidRDefault="004F260A" w:rsidP="004F260A">
      <w:pPr>
        <w:rPr>
          <w:rFonts w:ascii="Times New Roman" w:hAnsi="Times New Roman" w:cs="Times New Roman"/>
          <w:noProof/>
          <w:sz w:val="22"/>
          <w:szCs w:val="22"/>
          <w:u w:val="single"/>
        </w:rPr>
      </w:pPr>
      <w:r w:rsidRPr="00D30724">
        <w:rPr>
          <w:rFonts w:ascii="Times New Roman" w:hAnsi="Times New Roman" w:cs="Times New Roman"/>
          <w:noProof/>
          <w:sz w:val="22"/>
          <w:szCs w:val="22"/>
          <w:u w:val="single"/>
        </w:rPr>
        <w:t>Parte I</w:t>
      </w:r>
    </w:p>
    <w:p w14:paraId="7FF9F2C5" w14:textId="7811CFB5" w:rsidR="004F260A" w:rsidRPr="00D30724" w:rsidRDefault="004F260A" w:rsidP="004F260A">
      <w:pPr>
        <w:rPr>
          <w:rFonts w:ascii="Times New Roman" w:hAnsi="Times New Roman" w:cs="Times New Roman"/>
          <w:noProof/>
          <w:sz w:val="22"/>
          <w:szCs w:val="22"/>
        </w:rPr>
      </w:pPr>
      <w:r w:rsidRPr="00D30724">
        <w:rPr>
          <w:rFonts w:ascii="Times New Roman" w:hAnsi="Times New Roman" w:cs="Times New Roman"/>
          <w:noProof/>
          <w:sz w:val="22"/>
          <w:szCs w:val="22"/>
        </w:rPr>
        <w:t>2.b.</w:t>
      </w:r>
    </w:p>
    <w:p w14:paraId="4FAA9985" w14:textId="58D1E714" w:rsidR="004F260A" w:rsidRPr="00D30724" w:rsidRDefault="004F260A" w:rsidP="004F260A">
      <w:pPr>
        <w:jc w:val="center"/>
        <w:rPr>
          <w:rFonts w:ascii="Times New Roman" w:hAnsi="Times New Roman" w:cs="Times New Roman"/>
          <w:noProof/>
          <w:sz w:val="22"/>
          <w:szCs w:val="22"/>
        </w:rPr>
      </w:pPr>
      <w:r w:rsidRPr="00D30724">
        <w:rPr>
          <w:rFonts w:ascii="Times New Roman" w:hAnsi="Times New Roman" w:cs="Times New Roman"/>
          <w:noProof/>
          <w:sz w:val="22"/>
          <w:szCs w:val="22"/>
        </w:rPr>
        <w:drawing>
          <wp:inline distT="0" distB="0" distL="0" distR="0" wp14:anchorId="7278C912" wp14:editId="45BDE9B5">
            <wp:extent cx="2352675" cy="1866900"/>
            <wp:effectExtent l="0" t="0" r="9525" b="0"/>
            <wp:docPr id="137716867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68675" name="Imagen 1" descr="Tabl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866900"/>
                    </a:xfrm>
                    <a:prstGeom prst="rect">
                      <a:avLst/>
                    </a:prstGeom>
                    <a:noFill/>
                    <a:ln>
                      <a:noFill/>
                    </a:ln>
                  </pic:spPr>
                </pic:pic>
              </a:graphicData>
            </a:graphic>
          </wp:inline>
        </w:drawing>
      </w:r>
    </w:p>
    <w:p w14:paraId="4A4171EC" w14:textId="627DB13A" w:rsidR="004F260A" w:rsidRPr="00D30724" w:rsidRDefault="004F260A" w:rsidP="004F260A">
      <w:pPr>
        <w:rPr>
          <w:rFonts w:ascii="Times New Roman" w:hAnsi="Times New Roman" w:cs="Times New Roman"/>
          <w:noProof/>
          <w:sz w:val="22"/>
          <w:szCs w:val="22"/>
          <w:u w:val="single"/>
        </w:rPr>
      </w:pPr>
      <w:r w:rsidRPr="00D30724">
        <w:rPr>
          <w:rFonts w:ascii="Times New Roman" w:hAnsi="Times New Roman" w:cs="Times New Roman"/>
          <w:noProof/>
          <w:sz w:val="22"/>
          <w:szCs w:val="22"/>
          <w:u w:val="single"/>
        </w:rPr>
        <w:t>Parte II</w:t>
      </w:r>
    </w:p>
    <w:p w14:paraId="56515AFE" w14:textId="0947178F" w:rsidR="004F260A" w:rsidRPr="00D30724" w:rsidRDefault="004F260A" w:rsidP="004F260A">
      <w:pPr>
        <w:rPr>
          <w:rFonts w:ascii="Times New Roman" w:hAnsi="Times New Roman" w:cs="Times New Roman"/>
          <w:noProof/>
          <w:sz w:val="22"/>
          <w:szCs w:val="22"/>
        </w:rPr>
      </w:pPr>
      <w:r w:rsidRPr="00D30724">
        <w:rPr>
          <w:rFonts w:ascii="Times New Roman" w:hAnsi="Times New Roman" w:cs="Times New Roman"/>
          <w:noProof/>
          <w:sz w:val="22"/>
          <w:szCs w:val="22"/>
        </w:rPr>
        <w:t>3.</w:t>
      </w:r>
    </w:p>
    <w:p w14:paraId="3694B552" w14:textId="77777777" w:rsidR="004F260A" w:rsidRPr="00D30724" w:rsidRDefault="004F260A" w:rsidP="004F260A">
      <w:pPr>
        <w:jc w:val="center"/>
        <w:rPr>
          <w:rFonts w:ascii="Times New Roman" w:hAnsi="Times New Roman" w:cs="Times New Roman"/>
          <w:noProof/>
          <w:sz w:val="22"/>
          <w:szCs w:val="22"/>
        </w:rPr>
      </w:pPr>
    </w:p>
    <w:p w14:paraId="2F3065B4" w14:textId="3469889C" w:rsidR="00E04A99"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675EAF7E" wp14:editId="6C47AB71">
            <wp:extent cx="5400040" cy="3118485"/>
            <wp:effectExtent l="0" t="0" r="0" b="5715"/>
            <wp:docPr id="44951951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9518" name="Imagen 1" descr="Gráfico, Gráfico de barras&#10;&#10;El contenido generado por IA puede ser incorrecto."/>
                    <pic:cNvPicPr/>
                  </pic:nvPicPr>
                  <pic:blipFill>
                    <a:blip r:embed="rId8"/>
                    <a:stretch>
                      <a:fillRect/>
                    </a:stretch>
                  </pic:blipFill>
                  <pic:spPr>
                    <a:xfrm>
                      <a:off x="0" y="0"/>
                      <a:ext cx="5400040" cy="3118485"/>
                    </a:xfrm>
                    <a:prstGeom prst="rect">
                      <a:avLst/>
                    </a:prstGeom>
                  </pic:spPr>
                </pic:pic>
              </a:graphicData>
            </a:graphic>
          </wp:inline>
        </w:drawing>
      </w:r>
    </w:p>
    <w:p w14:paraId="64F55366" w14:textId="0A4A62B6" w:rsidR="004F260A"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En ambas encuestas hay mayor cantidad de hombres que de mujeres, el único cambio visible es que la diferencia entre ambos disminuyó en 2024</w:t>
      </w:r>
    </w:p>
    <w:p w14:paraId="78403038" w14:textId="77777777" w:rsidR="004F260A" w:rsidRPr="00D30724" w:rsidRDefault="004F260A" w:rsidP="004F260A">
      <w:pPr>
        <w:jc w:val="center"/>
        <w:rPr>
          <w:rFonts w:ascii="Times New Roman" w:hAnsi="Times New Roman" w:cs="Times New Roman"/>
          <w:sz w:val="22"/>
          <w:szCs w:val="22"/>
        </w:rPr>
      </w:pPr>
    </w:p>
    <w:p w14:paraId="3BDFB8AE" w14:textId="77777777" w:rsidR="004F260A" w:rsidRPr="00D30724" w:rsidRDefault="004F260A" w:rsidP="004F260A">
      <w:pPr>
        <w:jc w:val="center"/>
        <w:rPr>
          <w:rFonts w:ascii="Times New Roman" w:hAnsi="Times New Roman" w:cs="Times New Roman"/>
          <w:sz w:val="22"/>
          <w:szCs w:val="22"/>
        </w:rPr>
      </w:pPr>
    </w:p>
    <w:p w14:paraId="6A2E74DF" w14:textId="77777777" w:rsidR="004F260A" w:rsidRPr="00D30724" w:rsidRDefault="004F260A" w:rsidP="004F260A">
      <w:pPr>
        <w:jc w:val="center"/>
        <w:rPr>
          <w:rFonts w:ascii="Times New Roman" w:hAnsi="Times New Roman" w:cs="Times New Roman"/>
          <w:sz w:val="22"/>
          <w:szCs w:val="22"/>
        </w:rPr>
      </w:pPr>
    </w:p>
    <w:p w14:paraId="0FC6BE25" w14:textId="77777777" w:rsidR="004F260A" w:rsidRPr="00D30724" w:rsidRDefault="004F260A" w:rsidP="004F260A">
      <w:pPr>
        <w:jc w:val="center"/>
        <w:rPr>
          <w:rFonts w:ascii="Times New Roman" w:hAnsi="Times New Roman" w:cs="Times New Roman"/>
          <w:sz w:val="22"/>
          <w:szCs w:val="22"/>
        </w:rPr>
      </w:pPr>
    </w:p>
    <w:p w14:paraId="07A5E268" w14:textId="77777777" w:rsidR="004F260A" w:rsidRPr="00D30724" w:rsidRDefault="004F260A" w:rsidP="004F260A">
      <w:pPr>
        <w:jc w:val="center"/>
        <w:rPr>
          <w:rFonts w:ascii="Times New Roman" w:hAnsi="Times New Roman" w:cs="Times New Roman"/>
          <w:sz w:val="22"/>
          <w:szCs w:val="22"/>
        </w:rPr>
      </w:pPr>
    </w:p>
    <w:p w14:paraId="3D7CB5F6" w14:textId="77777777" w:rsidR="004F260A" w:rsidRPr="00D30724" w:rsidRDefault="004F260A" w:rsidP="004F260A">
      <w:pPr>
        <w:jc w:val="center"/>
        <w:rPr>
          <w:rFonts w:ascii="Times New Roman" w:hAnsi="Times New Roman" w:cs="Times New Roman"/>
          <w:sz w:val="22"/>
          <w:szCs w:val="22"/>
        </w:rPr>
      </w:pPr>
    </w:p>
    <w:p w14:paraId="3F41444B" w14:textId="4F206A50" w:rsidR="004F260A" w:rsidRPr="00D30724" w:rsidRDefault="004F260A" w:rsidP="004F260A">
      <w:pPr>
        <w:rPr>
          <w:rFonts w:ascii="Times New Roman" w:hAnsi="Times New Roman" w:cs="Times New Roman"/>
          <w:sz w:val="22"/>
          <w:szCs w:val="22"/>
        </w:rPr>
      </w:pPr>
      <w:r w:rsidRPr="00D30724">
        <w:rPr>
          <w:rFonts w:ascii="Times New Roman" w:hAnsi="Times New Roman" w:cs="Times New Roman"/>
          <w:sz w:val="22"/>
          <w:szCs w:val="22"/>
        </w:rPr>
        <w:lastRenderedPageBreak/>
        <w:t>4.a.</w:t>
      </w:r>
    </w:p>
    <w:p w14:paraId="73B72C93" w14:textId="075F90BC"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anchor distT="0" distB="0" distL="114300" distR="114300" simplePos="0" relativeHeight="251658240" behindDoc="1" locked="0" layoutInCell="1" allowOverlap="1" wp14:anchorId="18055523" wp14:editId="18BB967E">
            <wp:simplePos x="0" y="0"/>
            <wp:positionH relativeFrom="column">
              <wp:posOffset>634365</wp:posOffset>
            </wp:positionH>
            <wp:positionV relativeFrom="paragraph">
              <wp:posOffset>-4445</wp:posOffset>
            </wp:positionV>
            <wp:extent cx="4124325" cy="3505835"/>
            <wp:effectExtent l="0" t="0" r="9525" b="0"/>
            <wp:wrapSquare wrapText="bothSides"/>
            <wp:docPr id="53258657" name="Imagen 1" descr="Imagen que contiene gabine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8657" name="Imagen 1" descr="Imagen que contiene gabinete&#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124325" cy="3505835"/>
                    </a:xfrm>
                    <a:prstGeom prst="rect">
                      <a:avLst/>
                    </a:prstGeom>
                  </pic:spPr>
                </pic:pic>
              </a:graphicData>
            </a:graphic>
          </wp:anchor>
        </w:drawing>
      </w:r>
    </w:p>
    <w:p w14:paraId="181E7233" w14:textId="77777777" w:rsidR="004F260A" w:rsidRPr="00D30724" w:rsidRDefault="004F260A" w:rsidP="004F260A">
      <w:pPr>
        <w:rPr>
          <w:rFonts w:ascii="Times New Roman" w:hAnsi="Times New Roman" w:cs="Times New Roman"/>
          <w:sz w:val="22"/>
          <w:szCs w:val="22"/>
        </w:rPr>
      </w:pPr>
    </w:p>
    <w:p w14:paraId="50FC0335" w14:textId="77777777" w:rsidR="004F260A" w:rsidRPr="00D30724" w:rsidRDefault="004F260A" w:rsidP="004F260A">
      <w:pPr>
        <w:jc w:val="center"/>
        <w:rPr>
          <w:rFonts w:ascii="Times New Roman" w:hAnsi="Times New Roman" w:cs="Times New Roman"/>
          <w:sz w:val="22"/>
          <w:szCs w:val="22"/>
        </w:rPr>
      </w:pPr>
    </w:p>
    <w:p w14:paraId="3B3B5146" w14:textId="77777777" w:rsidR="004F260A" w:rsidRPr="00D30724" w:rsidRDefault="004F260A" w:rsidP="004F260A">
      <w:pPr>
        <w:jc w:val="center"/>
        <w:rPr>
          <w:rFonts w:ascii="Times New Roman" w:hAnsi="Times New Roman" w:cs="Times New Roman"/>
          <w:sz w:val="22"/>
          <w:szCs w:val="22"/>
        </w:rPr>
      </w:pPr>
    </w:p>
    <w:p w14:paraId="7838B57B" w14:textId="77777777" w:rsidR="004F260A" w:rsidRPr="00D30724" w:rsidRDefault="004F260A" w:rsidP="004F260A">
      <w:pPr>
        <w:jc w:val="center"/>
        <w:rPr>
          <w:rFonts w:ascii="Times New Roman" w:hAnsi="Times New Roman" w:cs="Times New Roman"/>
          <w:sz w:val="22"/>
          <w:szCs w:val="22"/>
        </w:rPr>
      </w:pPr>
    </w:p>
    <w:p w14:paraId="6AD60313" w14:textId="77777777" w:rsidR="004F260A" w:rsidRPr="00D30724" w:rsidRDefault="004F260A" w:rsidP="004F260A">
      <w:pPr>
        <w:jc w:val="center"/>
        <w:rPr>
          <w:rFonts w:ascii="Times New Roman" w:hAnsi="Times New Roman" w:cs="Times New Roman"/>
          <w:sz w:val="22"/>
          <w:szCs w:val="22"/>
        </w:rPr>
      </w:pPr>
    </w:p>
    <w:p w14:paraId="674B4485" w14:textId="77777777" w:rsidR="004F260A" w:rsidRPr="00D30724" w:rsidRDefault="004F260A" w:rsidP="004F260A">
      <w:pPr>
        <w:jc w:val="center"/>
        <w:rPr>
          <w:rFonts w:ascii="Times New Roman" w:hAnsi="Times New Roman" w:cs="Times New Roman"/>
          <w:sz w:val="22"/>
          <w:szCs w:val="22"/>
        </w:rPr>
      </w:pPr>
    </w:p>
    <w:p w14:paraId="3D116405" w14:textId="77777777" w:rsidR="004F260A" w:rsidRPr="00D30724" w:rsidRDefault="004F260A" w:rsidP="004F260A">
      <w:pPr>
        <w:jc w:val="center"/>
        <w:rPr>
          <w:rFonts w:ascii="Times New Roman" w:hAnsi="Times New Roman" w:cs="Times New Roman"/>
          <w:sz w:val="22"/>
          <w:szCs w:val="22"/>
        </w:rPr>
      </w:pPr>
    </w:p>
    <w:p w14:paraId="58B57E4C" w14:textId="77777777" w:rsidR="004F260A" w:rsidRPr="00D30724" w:rsidRDefault="004F260A" w:rsidP="004F260A">
      <w:pPr>
        <w:jc w:val="center"/>
        <w:rPr>
          <w:rFonts w:ascii="Times New Roman" w:hAnsi="Times New Roman" w:cs="Times New Roman"/>
          <w:sz w:val="22"/>
          <w:szCs w:val="22"/>
        </w:rPr>
      </w:pPr>
    </w:p>
    <w:p w14:paraId="352F258B" w14:textId="77777777" w:rsidR="004F260A" w:rsidRPr="00D30724" w:rsidRDefault="004F260A" w:rsidP="004F260A">
      <w:pPr>
        <w:jc w:val="center"/>
        <w:rPr>
          <w:rFonts w:ascii="Times New Roman" w:hAnsi="Times New Roman" w:cs="Times New Roman"/>
          <w:sz w:val="22"/>
          <w:szCs w:val="22"/>
        </w:rPr>
      </w:pPr>
    </w:p>
    <w:p w14:paraId="1D8E054F" w14:textId="77777777" w:rsidR="004F260A" w:rsidRPr="00D30724" w:rsidRDefault="004F260A" w:rsidP="004F260A">
      <w:pPr>
        <w:jc w:val="center"/>
        <w:rPr>
          <w:rFonts w:ascii="Times New Roman" w:hAnsi="Times New Roman" w:cs="Times New Roman"/>
          <w:sz w:val="22"/>
          <w:szCs w:val="22"/>
        </w:rPr>
      </w:pPr>
    </w:p>
    <w:p w14:paraId="64ABF0FA" w14:textId="77777777" w:rsidR="004F260A" w:rsidRPr="00D30724" w:rsidRDefault="004F260A" w:rsidP="004F260A">
      <w:pPr>
        <w:jc w:val="center"/>
        <w:rPr>
          <w:rFonts w:ascii="Times New Roman" w:hAnsi="Times New Roman" w:cs="Times New Roman"/>
          <w:sz w:val="22"/>
          <w:szCs w:val="22"/>
        </w:rPr>
      </w:pPr>
    </w:p>
    <w:p w14:paraId="03CC7369" w14:textId="047EA8B2" w:rsidR="004F260A" w:rsidRPr="00D30724" w:rsidRDefault="004F260A" w:rsidP="004F260A">
      <w:pPr>
        <w:rPr>
          <w:rFonts w:ascii="Times New Roman" w:hAnsi="Times New Roman" w:cs="Times New Roman"/>
          <w:sz w:val="22"/>
          <w:szCs w:val="22"/>
        </w:rPr>
      </w:pPr>
      <w:r w:rsidRPr="00D30724">
        <w:rPr>
          <w:rFonts w:ascii="Times New Roman" w:hAnsi="Times New Roman" w:cs="Times New Roman"/>
          <w:sz w:val="22"/>
          <w:szCs w:val="22"/>
        </w:rPr>
        <w:t>4.b.</w:t>
      </w:r>
    </w:p>
    <w:p w14:paraId="239C4B18" w14:textId="4E306C09"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32AD6AFD" wp14:editId="2BFDB0DA">
            <wp:extent cx="4602946" cy="3905250"/>
            <wp:effectExtent l="0" t="0" r="7620" b="0"/>
            <wp:docPr id="1136149969" name="Imagen 1" descr="Imagen que contiene gabine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49969" name="Imagen 1" descr="Imagen que contiene gabinete&#10;&#10;El contenido generado por IA puede ser incorrecto."/>
                    <pic:cNvPicPr/>
                  </pic:nvPicPr>
                  <pic:blipFill>
                    <a:blip r:embed="rId10"/>
                    <a:stretch>
                      <a:fillRect/>
                    </a:stretch>
                  </pic:blipFill>
                  <pic:spPr>
                    <a:xfrm>
                      <a:off x="0" y="0"/>
                      <a:ext cx="4619392" cy="3919203"/>
                    </a:xfrm>
                    <a:prstGeom prst="rect">
                      <a:avLst/>
                    </a:prstGeom>
                  </pic:spPr>
                </pic:pic>
              </a:graphicData>
            </a:graphic>
          </wp:inline>
        </w:drawing>
      </w:r>
    </w:p>
    <w:p w14:paraId="3282260C" w14:textId="77777777" w:rsidR="00CA123F"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 xml:space="preserve">La mayoría de las variables con las que trabaja la matriz de correlación no tienen un sentido útil, ya que los valores que toman son números que no tienen valor intrínseco; sino que únicamente son usados para asociar el número a un dato y facilitar el uso de la base de datos. </w:t>
      </w:r>
    </w:p>
    <w:p w14:paraId="274A316F" w14:textId="7D189111" w:rsidR="00A3287D"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lastRenderedPageBreak/>
        <w:t xml:space="preserve">Los casos en que sí tienen utilidad son las variables que tienen un orden lógico o valores continuos que permiten interpretaciones más profundas. </w:t>
      </w:r>
    </w:p>
    <w:p w14:paraId="26C74792" w14:textId="494C347A" w:rsidR="00A3287D"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 xml:space="preserve">En 2004, se observa una fuerte relación negativa entre nivel educativo y estado de actividad (-0.55), indicando que, a menor educación, mayor probabilidad de inactividad o desocupación. También se destaca una relación positiva entre educación e IPCF (0.22), lo que refuerza la idea de que el nivel educativo tenía un impacto más claro en el ingreso per cápita familiar. </w:t>
      </w:r>
    </w:p>
    <w:p w14:paraId="48A070AF" w14:textId="6EEF00B3" w:rsidR="004F260A"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En 2024, estas correlaciones se mantienen, pero con menor intensidad. La relación entre educación y actividad baja a -0.21 y con IPCF a 0.14, lo que sugiere una posible pérdida de peso del título educativo en el acceso al empleo y en el nivel de ingreso per cápita familiar.</w:t>
      </w:r>
    </w:p>
    <w:p w14:paraId="7F590ED8" w14:textId="77777777" w:rsidR="007A4620" w:rsidRPr="00D30724" w:rsidRDefault="007A4620" w:rsidP="004F260A">
      <w:pPr>
        <w:jc w:val="center"/>
        <w:rPr>
          <w:rFonts w:ascii="Times New Roman" w:hAnsi="Times New Roman" w:cs="Times New Roman"/>
          <w:sz w:val="22"/>
          <w:szCs w:val="22"/>
        </w:rPr>
      </w:pPr>
    </w:p>
    <w:p w14:paraId="6253D933" w14:textId="3179BE60" w:rsidR="007A4620" w:rsidRPr="00D30724" w:rsidRDefault="007A4620" w:rsidP="007A4620">
      <w:pPr>
        <w:rPr>
          <w:rFonts w:ascii="Times New Roman" w:hAnsi="Times New Roman" w:cs="Times New Roman"/>
          <w:sz w:val="22"/>
          <w:szCs w:val="22"/>
          <w:u w:val="single"/>
        </w:rPr>
      </w:pPr>
      <w:r w:rsidRPr="00D30724">
        <w:rPr>
          <w:rFonts w:ascii="Times New Roman" w:hAnsi="Times New Roman" w:cs="Times New Roman"/>
          <w:sz w:val="22"/>
          <w:szCs w:val="22"/>
          <w:u w:val="single"/>
        </w:rPr>
        <w:t>Parte III</w:t>
      </w:r>
    </w:p>
    <w:p w14:paraId="78F6ED7D" w14:textId="216704E0" w:rsidR="007A4620" w:rsidRPr="00D30724" w:rsidRDefault="007A4620" w:rsidP="007A4620">
      <w:pPr>
        <w:rPr>
          <w:rFonts w:ascii="Times New Roman" w:hAnsi="Times New Roman" w:cs="Times New Roman"/>
          <w:sz w:val="22"/>
          <w:szCs w:val="22"/>
        </w:rPr>
      </w:pPr>
      <w:r w:rsidRPr="00D30724">
        <w:rPr>
          <w:rFonts w:ascii="Times New Roman" w:hAnsi="Times New Roman" w:cs="Times New Roman"/>
          <w:sz w:val="22"/>
          <w:szCs w:val="22"/>
        </w:rPr>
        <w:t>7.</w:t>
      </w:r>
    </w:p>
    <w:p w14:paraId="4EAE80D5" w14:textId="5184331A" w:rsidR="004F260A" w:rsidRPr="00D30724" w:rsidRDefault="007A4620"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57A959C4" wp14:editId="2B299656">
            <wp:extent cx="5400040" cy="3146425"/>
            <wp:effectExtent l="0" t="0" r="0" b="0"/>
            <wp:docPr id="1160414620" name="Imagen 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14620" name="Imagen 3" descr="Gráfico, Gráfico de barra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46425"/>
                    </a:xfrm>
                    <a:prstGeom prst="rect">
                      <a:avLst/>
                    </a:prstGeom>
                    <a:noFill/>
                    <a:ln>
                      <a:noFill/>
                    </a:ln>
                  </pic:spPr>
                </pic:pic>
              </a:graphicData>
            </a:graphic>
          </wp:inline>
        </w:drawing>
      </w:r>
    </w:p>
    <w:p w14:paraId="173226F0" w14:textId="562995FE" w:rsidR="00A3287D"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 xml:space="preserve">En el año 2004 había una mayor cantidad de personas fuera de la PEA, superando a la PEA por un margen considerable. </w:t>
      </w:r>
    </w:p>
    <w:p w14:paraId="05CA2F99" w14:textId="7A0C858C" w:rsidR="00A3287D"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En el año 2024 la PEA supero por un ínfimo margen a aquellos fuera de la PEA.</w:t>
      </w:r>
    </w:p>
    <w:p w14:paraId="728DB950" w14:textId="77777777" w:rsidR="00CA123F" w:rsidRDefault="00CA123F" w:rsidP="004F260A">
      <w:pPr>
        <w:jc w:val="center"/>
        <w:rPr>
          <w:rFonts w:ascii="Times New Roman" w:hAnsi="Times New Roman" w:cs="Times New Roman"/>
          <w:sz w:val="22"/>
          <w:szCs w:val="22"/>
        </w:rPr>
      </w:pPr>
    </w:p>
    <w:p w14:paraId="408E67B8" w14:textId="77777777" w:rsidR="00CA123F" w:rsidRDefault="00CA123F" w:rsidP="004F260A">
      <w:pPr>
        <w:jc w:val="center"/>
        <w:rPr>
          <w:rFonts w:ascii="Times New Roman" w:hAnsi="Times New Roman" w:cs="Times New Roman"/>
          <w:sz w:val="22"/>
          <w:szCs w:val="22"/>
        </w:rPr>
      </w:pPr>
    </w:p>
    <w:p w14:paraId="20906A97" w14:textId="77777777" w:rsidR="00CA123F" w:rsidRDefault="00CA123F" w:rsidP="004F260A">
      <w:pPr>
        <w:jc w:val="center"/>
        <w:rPr>
          <w:rFonts w:ascii="Times New Roman" w:hAnsi="Times New Roman" w:cs="Times New Roman"/>
          <w:sz w:val="22"/>
          <w:szCs w:val="22"/>
        </w:rPr>
      </w:pPr>
    </w:p>
    <w:p w14:paraId="7C0C210A" w14:textId="77777777" w:rsidR="00CA123F" w:rsidRDefault="00CA123F" w:rsidP="004F260A">
      <w:pPr>
        <w:jc w:val="center"/>
        <w:rPr>
          <w:rFonts w:ascii="Times New Roman" w:hAnsi="Times New Roman" w:cs="Times New Roman"/>
          <w:sz w:val="22"/>
          <w:szCs w:val="22"/>
        </w:rPr>
      </w:pPr>
    </w:p>
    <w:p w14:paraId="0BE3B576" w14:textId="77777777" w:rsidR="00CA123F" w:rsidRDefault="00CA123F" w:rsidP="004F260A">
      <w:pPr>
        <w:jc w:val="center"/>
        <w:rPr>
          <w:rFonts w:ascii="Times New Roman" w:hAnsi="Times New Roman" w:cs="Times New Roman"/>
          <w:sz w:val="22"/>
          <w:szCs w:val="22"/>
        </w:rPr>
      </w:pPr>
    </w:p>
    <w:p w14:paraId="741CC405" w14:textId="77777777" w:rsidR="00CA123F" w:rsidRDefault="00CA123F" w:rsidP="004F260A">
      <w:pPr>
        <w:jc w:val="center"/>
        <w:rPr>
          <w:rFonts w:ascii="Times New Roman" w:hAnsi="Times New Roman" w:cs="Times New Roman"/>
          <w:sz w:val="22"/>
          <w:szCs w:val="22"/>
        </w:rPr>
      </w:pPr>
    </w:p>
    <w:p w14:paraId="19A01A8E" w14:textId="77777777" w:rsidR="00CA123F" w:rsidRDefault="00CA123F" w:rsidP="004F260A">
      <w:pPr>
        <w:jc w:val="center"/>
        <w:rPr>
          <w:rFonts w:ascii="Times New Roman" w:hAnsi="Times New Roman" w:cs="Times New Roman"/>
          <w:sz w:val="22"/>
          <w:szCs w:val="22"/>
        </w:rPr>
      </w:pPr>
    </w:p>
    <w:p w14:paraId="38F1B799" w14:textId="78F1A1C2" w:rsidR="00CA123F" w:rsidRDefault="00CA123F" w:rsidP="00CA123F">
      <w:pPr>
        <w:rPr>
          <w:rFonts w:ascii="Times New Roman" w:hAnsi="Times New Roman" w:cs="Times New Roman"/>
          <w:sz w:val="22"/>
          <w:szCs w:val="22"/>
        </w:rPr>
      </w:pPr>
      <w:r w:rsidRPr="00D30724">
        <w:rPr>
          <w:rFonts w:ascii="Times New Roman" w:hAnsi="Times New Roman" w:cs="Times New Roman"/>
          <w:sz w:val="22"/>
          <w:szCs w:val="22"/>
        </w:rPr>
        <w:lastRenderedPageBreak/>
        <w:t>8.</w:t>
      </w:r>
    </w:p>
    <w:p w14:paraId="67F9D645" w14:textId="0B8E70E5"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32A9D011" wp14:editId="6865E74D">
            <wp:extent cx="5400040" cy="3891915"/>
            <wp:effectExtent l="0" t="0" r="0" b="0"/>
            <wp:docPr id="548726026" name="Imagen 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26026" name="Imagen 5" descr="Gráfico, Gráfico de barra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73ECBEBC" w14:textId="77777777" w:rsidR="00A3287D"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Se percibe un cambio en la composición de la PET por año, donde hubo una pequeña baja nominal en 2024, respecto a 2004.</w:t>
      </w:r>
    </w:p>
    <w:p w14:paraId="3B77CFF1" w14:textId="57C819B9" w:rsidR="007A4620" w:rsidRPr="00D30724" w:rsidRDefault="00A3287D" w:rsidP="00CA123F">
      <w:pPr>
        <w:rPr>
          <w:rFonts w:ascii="Times New Roman" w:hAnsi="Times New Roman" w:cs="Times New Roman"/>
          <w:sz w:val="22"/>
          <w:szCs w:val="22"/>
        </w:rPr>
      </w:pPr>
      <w:r w:rsidRPr="00D30724">
        <w:rPr>
          <w:rFonts w:ascii="Times New Roman" w:hAnsi="Times New Roman" w:cs="Times New Roman"/>
          <w:sz w:val="22"/>
          <w:szCs w:val="22"/>
        </w:rPr>
        <w:t>Aunque la PET de 2024 se mantuvo proporcionalmente igual respecto a la de 2004.</w:t>
      </w:r>
    </w:p>
    <w:p w14:paraId="55B098CB" w14:textId="77ADA181" w:rsidR="007A4620" w:rsidRPr="00D30724" w:rsidRDefault="007A4620" w:rsidP="007A4620">
      <w:pPr>
        <w:rPr>
          <w:rFonts w:ascii="Times New Roman" w:hAnsi="Times New Roman" w:cs="Times New Roman"/>
          <w:sz w:val="22"/>
          <w:szCs w:val="22"/>
        </w:rPr>
      </w:pPr>
      <w:r w:rsidRPr="00D30724">
        <w:rPr>
          <w:rFonts w:ascii="Times New Roman" w:hAnsi="Times New Roman" w:cs="Times New Roman"/>
          <w:sz w:val="22"/>
          <w:szCs w:val="22"/>
        </w:rPr>
        <w:t>9.</w:t>
      </w:r>
    </w:p>
    <w:p w14:paraId="466B857A" w14:textId="77777777" w:rsidR="00CA123F" w:rsidRDefault="004F260A" w:rsidP="00CA123F">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1FE0D76A" wp14:editId="2AECC180">
            <wp:extent cx="4794386" cy="3352800"/>
            <wp:effectExtent l="0" t="0" r="6350" b="0"/>
            <wp:docPr id="8062767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7670" name="Imagen 1" descr="Gráfico, Gráfico de barras&#10;&#10;El contenido generado por IA puede ser incorrecto."/>
                    <pic:cNvPicPr/>
                  </pic:nvPicPr>
                  <pic:blipFill>
                    <a:blip r:embed="rId13"/>
                    <a:stretch>
                      <a:fillRect/>
                    </a:stretch>
                  </pic:blipFill>
                  <pic:spPr>
                    <a:xfrm>
                      <a:off x="0" y="0"/>
                      <a:ext cx="4795059" cy="3353271"/>
                    </a:xfrm>
                    <a:prstGeom prst="rect">
                      <a:avLst/>
                    </a:prstGeom>
                  </pic:spPr>
                </pic:pic>
              </a:graphicData>
            </a:graphic>
          </wp:inline>
        </w:drawing>
      </w:r>
    </w:p>
    <w:p w14:paraId="29447A3E" w14:textId="78E36375" w:rsidR="004F260A" w:rsidRPr="00D30724" w:rsidRDefault="007A4620" w:rsidP="00CA123F">
      <w:pPr>
        <w:rPr>
          <w:rFonts w:ascii="Times New Roman" w:hAnsi="Times New Roman" w:cs="Times New Roman"/>
          <w:sz w:val="22"/>
          <w:szCs w:val="22"/>
        </w:rPr>
      </w:pPr>
      <w:r w:rsidRPr="00D30724">
        <w:rPr>
          <w:rFonts w:ascii="Times New Roman" w:hAnsi="Times New Roman" w:cs="Times New Roman"/>
          <w:sz w:val="22"/>
          <w:szCs w:val="22"/>
        </w:rPr>
        <w:lastRenderedPageBreak/>
        <w:t>9.a.</w:t>
      </w:r>
    </w:p>
    <w:p w14:paraId="35A44759" w14:textId="356F2B48"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04DC3896" wp14:editId="49FB6DAE">
            <wp:extent cx="5400040" cy="2605405"/>
            <wp:effectExtent l="0" t="0" r="0" b="4445"/>
            <wp:docPr id="84207175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1754" name="Imagen 1" descr="Gráfico, Gráfico de barras&#10;&#10;El contenido generado por IA puede ser incorrecto."/>
                    <pic:cNvPicPr/>
                  </pic:nvPicPr>
                  <pic:blipFill>
                    <a:blip r:embed="rId14"/>
                    <a:stretch>
                      <a:fillRect/>
                    </a:stretch>
                  </pic:blipFill>
                  <pic:spPr>
                    <a:xfrm>
                      <a:off x="0" y="0"/>
                      <a:ext cx="5400040" cy="2605405"/>
                    </a:xfrm>
                    <a:prstGeom prst="rect">
                      <a:avLst/>
                    </a:prstGeom>
                  </pic:spPr>
                </pic:pic>
              </a:graphicData>
            </a:graphic>
          </wp:inline>
        </w:drawing>
      </w:r>
    </w:p>
    <w:p w14:paraId="6DE90A90" w14:textId="284F2B3B" w:rsidR="007A4620"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En los niveles 1, 2 y 3 hay que tener en cuenta la edad de la gran mayoría que está transitando la primaria y secundaria, menores de 17 o 18 años. En dichas edades es la excepción aquellos que buscan trabajo, por lo que el nivel de desocupados y ocupados es bajo en relación con la muestra total. En los niveles 4 y 5 gran parte de la población busca adentrarse en el mundo laboral y dar sus primeros pasos.  Por lo que sube la desocupación en relación con los anteriores niveles. Y en el nivel 6, se suele estar en una edad donde se adquirió experiencia, ya sea por trabajos previos que se tomaron o por la obtención de un título. Por lo que la desocupación es menor que en los anteriores niveles, si se toma todo en cuenta. Con respecto a los años, hay una tendencia que sigue a lo largo de los 6 niveles educativos y es que la desocupación baja en 2024 respecto a 2004.</w:t>
      </w:r>
    </w:p>
    <w:p w14:paraId="79BD4C91" w14:textId="77777777" w:rsidR="00CA123F" w:rsidRDefault="00CA123F" w:rsidP="007A4620">
      <w:pPr>
        <w:rPr>
          <w:rFonts w:ascii="Times New Roman" w:hAnsi="Times New Roman" w:cs="Times New Roman"/>
          <w:sz w:val="22"/>
          <w:szCs w:val="22"/>
        </w:rPr>
      </w:pPr>
    </w:p>
    <w:p w14:paraId="0E59D27D" w14:textId="6E2F41BF" w:rsidR="007A4620" w:rsidRPr="00D30724" w:rsidRDefault="007A4620" w:rsidP="00CA123F">
      <w:pPr>
        <w:rPr>
          <w:rFonts w:ascii="Times New Roman" w:hAnsi="Times New Roman" w:cs="Times New Roman"/>
          <w:sz w:val="22"/>
          <w:szCs w:val="22"/>
        </w:rPr>
      </w:pPr>
      <w:r w:rsidRPr="00D30724">
        <w:rPr>
          <w:rFonts w:ascii="Times New Roman" w:hAnsi="Times New Roman" w:cs="Times New Roman"/>
          <w:sz w:val="22"/>
          <w:szCs w:val="22"/>
        </w:rPr>
        <w:t>9.b.</w:t>
      </w:r>
    </w:p>
    <w:p w14:paraId="5DF1E150" w14:textId="0A832A03"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302A3AD2" wp14:editId="77033DE5">
            <wp:extent cx="5400040" cy="2697480"/>
            <wp:effectExtent l="0" t="0" r="0" b="7620"/>
            <wp:docPr id="1467016304" name="Imagen 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16304" name="Imagen 6" descr="Gráfico, Gráfico de barras&#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97480"/>
                    </a:xfrm>
                    <a:prstGeom prst="rect">
                      <a:avLst/>
                    </a:prstGeom>
                    <a:noFill/>
                    <a:ln>
                      <a:noFill/>
                    </a:ln>
                  </pic:spPr>
                </pic:pic>
              </a:graphicData>
            </a:graphic>
          </wp:inline>
        </w:drawing>
      </w:r>
    </w:p>
    <w:p w14:paraId="09751B51" w14:textId="77777777" w:rsidR="00CA123F"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 xml:space="preserve">En todos los grupos etarios menos en el de 40-49 y 80-89, se nota una tendencia, donde los datos de 2004 superan de manera considerable a los de 2024.  </w:t>
      </w:r>
    </w:p>
    <w:p w14:paraId="24505A58" w14:textId="25FA2BF5" w:rsidR="007A4620" w:rsidRPr="00D30724" w:rsidRDefault="00A3287D" w:rsidP="00A3287D">
      <w:pPr>
        <w:rPr>
          <w:rFonts w:ascii="Times New Roman" w:hAnsi="Times New Roman" w:cs="Times New Roman"/>
          <w:sz w:val="22"/>
          <w:szCs w:val="22"/>
        </w:rPr>
      </w:pPr>
      <w:r w:rsidRPr="00D30724">
        <w:rPr>
          <w:rFonts w:ascii="Times New Roman" w:hAnsi="Times New Roman" w:cs="Times New Roman"/>
          <w:sz w:val="22"/>
          <w:szCs w:val="22"/>
        </w:rPr>
        <w:lastRenderedPageBreak/>
        <w:t>Por lo que hay una tendencia a la baja en la desocupación en dichas edades.  Mientras que el grupo de 40-49 rompe con ese patrón, donde los datos de 2004 son superados por 2024, mostrando que aumento proporcionalmente la desocupación. Por último, en el grupo 80-89 solo hay datos de 2004, por lo que no permite un análisis comparativo, pero si nos dice que en 2024 no hubo desocupados en ese rango etario, debido al crecimiento que existe en los niveles de inactividad a partir de la edad jubilatoria.</w:t>
      </w:r>
    </w:p>
    <w:p w14:paraId="58C9B32A" w14:textId="6CA5A693" w:rsidR="004F260A" w:rsidRPr="00D30724" w:rsidRDefault="007A4620" w:rsidP="00CA123F">
      <w:pPr>
        <w:rPr>
          <w:rFonts w:ascii="Times New Roman" w:hAnsi="Times New Roman" w:cs="Times New Roman"/>
          <w:sz w:val="22"/>
          <w:szCs w:val="22"/>
        </w:rPr>
      </w:pPr>
      <w:r w:rsidRPr="00D30724">
        <w:rPr>
          <w:rFonts w:ascii="Times New Roman" w:hAnsi="Times New Roman" w:cs="Times New Roman"/>
          <w:sz w:val="22"/>
          <w:szCs w:val="22"/>
        </w:rPr>
        <w:t>9.c. Variable elegida: sexo</w:t>
      </w:r>
    </w:p>
    <w:p w14:paraId="789C837F" w14:textId="3D84D451"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16DB606A" wp14:editId="0975B23B">
            <wp:extent cx="5400040" cy="2678430"/>
            <wp:effectExtent l="0" t="0" r="0" b="7620"/>
            <wp:docPr id="64869921" name="Imagen 7"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21" name="Imagen 7" descr="Gráfico, Gráfico de barras&#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78430"/>
                    </a:xfrm>
                    <a:prstGeom prst="rect">
                      <a:avLst/>
                    </a:prstGeom>
                    <a:noFill/>
                    <a:ln>
                      <a:noFill/>
                    </a:ln>
                  </pic:spPr>
                </pic:pic>
              </a:graphicData>
            </a:graphic>
          </wp:inline>
        </w:drawing>
      </w:r>
    </w:p>
    <w:p w14:paraId="45FB0D2D" w14:textId="77777777" w:rsidR="004F260A" w:rsidRPr="00D30724" w:rsidRDefault="004F260A" w:rsidP="004F260A">
      <w:pPr>
        <w:jc w:val="center"/>
        <w:rPr>
          <w:rFonts w:ascii="Times New Roman" w:hAnsi="Times New Roman" w:cs="Times New Roman"/>
          <w:sz w:val="22"/>
          <w:szCs w:val="22"/>
        </w:rPr>
      </w:pPr>
    </w:p>
    <w:p w14:paraId="57FCC12A" w14:textId="790243E0" w:rsidR="004F260A" w:rsidRPr="00D30724" w:rsidRDefault="004F260A" w:rsidP="004F260A">
      <w:pPr>
        <w:jc w:val="center"/>
        <w:rPr>
          <w:rFonts w:ascii="Times New Roman" w:hAnsi="Times New Roman" w:cs="Times New Roman"/>
          <w:sz w:val="22"/>
          <w:szCs w:val="22"/>
        </w:rPr>
      </w:pPr>
      <w:r w:rsidRPr="00D30724">
        <w:rPr>
          <w:rFonts w:ascii="Times New Roman" w:hAnsi="Times New Roman" w:cs="Times New Roman"/>
          <w:noProof/>
          <w:sz w:val="22"/>
          <w:szCs w:val="22"/>
        </w:rPr>
        <w:drawing>
          <wp:inline distT="0" distB="0" distL="0" distR="0" wp14:anchorId="25DE9EB3" wp14:editId="10A90970">
            <wp:extent cx="5400040" cy="2673350"/>
            <wp:effectExtent l="0" t="0" r="0" b="0"/>
            <wp:docPr id="1828300340" name="Imagen 8"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00340" name="Imagen 8" descr="Gráfico, Gráfico de barras&#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1A321357" w14:textId="77777777" w:rsidR="00CA123F" w:rsidRDefault="00A3287D" w:rsidP="00A3287D">
      <w:pPr>
        <w:rPr>
          <w:rFonts w:ascii="Times New Roman" w:hAnsi="Times New Roman" w:cs="Times New Roman"/>
          <w:sz w:val="22"/>
          <w:szCs w:val="22"/>
        </w:rPr>
      </w:pPr>
      <w:r w:rsidRPr="00D30724">
        <w:rPr>
          <w:rFonts w:ascii="Times New Roman" w:hAnsi="Times New Roman" w:cs="Times New Roman"/>
          <w:sz w:val="22"/>
          <w:szCs w:val="22"/>
        </w:rPr>
        <w:t xml:space="preserve">En los primer tres grupos de edades, hay una diferencia entre los datos de 2004 y 2024, donde los de 2004 son mayores. Esa diferencia es más marcada en las mujeres, por lo que se puede suponer que mejoro su inserción en el mercado laboral, más que en los hombres. En el grupo 40-49 hay una "anomalía", donde los datos de 2024 de las mujeres supera al de 2004. Mientras que el de los hombres sigue siempre la misma tendencia, donde los datos de 2004 superan a los de 2024. En los tres siguientes grupos, hay una diferencia entre los datos de 2004 y 2024, donde los de 2004 son mayores.  Esa diferencia es mucho más marcada en los hombres. </w:t>
      </w:r>
    </w:p>
    <w:p w14:paraId="4186CCD6" w14:textId="29F43F6D" w:rsidR="00A3287D" w:rsidRPr="004F260A" w:rsidRDefault="00A3287D" w:rsidP="00A3287D">
      <w:pPr>
        <w:rPr>
          <w:rFonts w:ascii="Arial" w:hAnsi="Arial" w:cs="Arial"/>
        </w:rPr>
      </w:pPr>
      <w:r w:rsidRPr="00D30724">
        <w:rPr>
          <w:rFonts w:ascii="Times New Roman" w:hAnsi="Times New Roman" w:cs="Times New Roman"/>
          <w:sz w:val="22"/>
          <w:szCs w:val="22"/>
        </w:rPr>
        <w:lastRenderedPageBreak/>
        <w:t>Por último, el grupo 80-89 solo tiene datos de 2004 y de las mujeres. Dando como conclusión que en 2024 ni hombres ni mujeres tuvo desocupados en ese rango y que en 2004 los hombres no tuvieron desocupados entre los 80-89, debido al crecimiento que existe en los niveles de inactividad a partir de la edad jubilatoria.</w:t>
      </w:r>
    </w:p>
    <w:sectPr w:rsidR="00A3287D" w:rsidRPr="004F2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0A"/>
    <w:rsid w:val="004F260A"/>
    <w:rsid w:val="0055004C"/>
    <w:rsid w:val="00686339"/>
    <w:rsid w:val="007A4620"/>
    <w:rsid w:val="00A3287D"/>
    <w:rsid w:val="00A5247D"/>
    <w:rsid w:val="00C45E2B"/>
    <w:rsid w:val="00C777CC"/>
    <w:rsid w:val="00CA123F"/>
    <w:rsid w:val="00D30724"/>
    <w:rsid w:val="00E04A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B13"/>
  <w15:chartTrackingRefBased/>
  <w15:docId w15:val="{9D09971D-F75D-4266-9C6A-0AAEA3BC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2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2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26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26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26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26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26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26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26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26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26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26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26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26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26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26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26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260A"/>
    <w:rPr>
      <w:rFonts w:eastAsiaTheme="majorEastAsia" w:cstheme="majorBidi"/>
      <w:color w:val="272727" w:themeColor="text1" w:themeTint="D8"/>
    </w:rPr>
  </w:style>
  <w:style w:type="paragraph" w:styleId="Ttulo">
    <w:name w:val="Title"/>
    <w:basedOn w:val="Normal"/>
    <w:next w:val="Normal"/>
    <w:link w:val="TtuloCar"/>
    <w:uiPriority w:val="10"/>
    <w:qFormat/>
    <w:rsid w:val="004F2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6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26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26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260A"/>
    <w:pPr>
      <w:spacing w:before="160"/>
      <w:jc w:val="center"/>
    </w:pPr>
    <w:rPr>
      <w:i/>
      <w:iCs/>
      <w:color w:val="404040" w:themeColor="text1" w:themeTint="BF"/>
    </w:rPr>
  </w:style>
  <w:style w:type="character" w:customStyle="1" w:styleId="CitaCar">
    <w:name w:val="Cita Car"/>
    <w:basedOn w:val="Fuentedeprrafopredeter"/>
    <w:link w:val="Cita"/>
    <w:uiPriority w:val="29"/>
    <w:rsid w:val="004F260A"/>
    <w:rPr>
      <w:i/>
      <w:iCs/>
      <w:color w:val="404040" w:themeColor="text1" w:themeTint="BF"/>
    </w:rPr>
  </w:style>
  <w:style w:type="paragraph" w:styleId="Prrafodelista">
    <w:name w:val="List Paragraph"/>
    <w:basedOn w:val="Normal"/>
    <w:uiPriority w:val="34"/>
    <w:qFormat/>
    <w:rsid w:val="004F260A"/>
    <w:pPr>
      <w:ind w:left="720"/>
      <w:contextualSpacing/>
    </w:pPr>
  </w:style>
  <w:style w:type="character" w:styleId="nfasisintenso">
    <w:name w:val="Intense Emphasis"/>
    <w:basedOn w:val="Fuentedeprrafopredeter"/>
    <w:uiPriority w:val="21"/>
    <w:qFormat/>
    <w:rsid w:val="004F260A"/>
    <w:rPr>
      <w:i/>
      <w:iCs/>
      <w:color w:val="0F4761" w:themeColor="accent1" w:themeShade="BF"/>
    </w:rPr>
  </w:style>
  <w:style w:type="paragraph" w:styleId="Citadestacada">
    <w:name w:val="Intense Quote"/>
    <w:basedOn w:val="Normal"/>
    <w:next w:val="Normal"/>
    <w:link w:val="CitadestacadaCar"/>
    <w:uiPriority w:val="30"/>
    <w:qFormat/>
    <w:rsid w:val="004F2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260A"/>
    <w:rPr>
      <w:i/>
      <w:iCs/>
      <w:color w:val="0F4761" w:themeColor="accent1" w:themeShade="BF"/>
    </w:rPr>
  </w:style>
  <w:style w:type="character" w:styleId="Referenciaintensa">
    <w:name w:val="Intense Reference"/>
    <w:basedOn w:val="Fuentedeprrafopredeter"/>
    <w:uiPriority w:val="32"/>
    <w:qFormat/>
    <w:rsid w:val="004F2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14D6B3F590E948940786B020CEA824" ma:contentTypeVersion="5" ma:contentTypeDescription="Crear nuevo documento." ma:contentTypeScope="" ma:versionID="3db49f7e6169a8635fd71a0f6e699bbe">
  <xsd:schema xmlns:xsd="http://www.w3.org/2001/XMLSchema" xmlns:xs="http://www.w3.org/2001/XMLSchema" xmlns:p="http://schemas.microsoft.com/office/2006/metadata/properties" xmlns:ns3="e1b9ad7c-2cd1-4c68-8eba-4987af88de24" targetNamespace="http://schemas.microsoft.com/office/2006/metadata/properties" ma:root="true" ma:fieldsID="6f79bdcdd085fb498a968078a39d933d" ns3:_="">
    <xsd:import namespace="e1b9ad7c-2cd1-4c68-8eba-4987af88de2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9ad7c-2cd1-4c68-8eba-4987af88de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0BFAF9-F1E6-4C13-BF99-B414A1555A1B}">
  <ds:schemaRefs>
    <ds:schemaRef ds:uri="http://schemas.microsoft.com/sharepoint/v3/contenttype/forms"/>
  </ds:schemaRefs>
</ds:datastoreItem>
</file>

<file path=customXml/itemProps2.xml><?xml version="1.0" encoding="utf-8"?>
<ds:datastoreItem xmlns:ds="http://schemas.openxmlformats.org/officeDocument/2006/customXml" ds:itemID="{41E5AFB4-8851-4CD3-8255-19EF32A26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9ad7c-2cd1-4c68-8eba-4987af88d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3D316-1059-496B-B458-15AC32E8F2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651</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Maceira Grau</dc:creator>
  <cp:keywords/>
  <dc:description/>
  <cp:lastModifiedBy>Tobias Laskarin</cp:lastModifiedBy>
  <cp:revision>5</cp:revision>
  <dcterms:created xsi:type="dcterms:W3CDTF">2025-04-22T04:05:00Z</dcterms:created>
  <dcterms:modified xsi:type="dcterms:W3CDTF">2025-04-22T04:17:00Z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0x0101000F14D6B3F590E948940786B020CEA824</vt:lpwstr>
  </property>
</Properties>
</file>