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196BE" w14:textId="2B0395D9" w:rsidR="008140F0" w:rsidRDefault="008140F0" w:rsidP="00D5038A">
      <w:pPr>
        <w:spacing w:line="360" w:lineRule="auto"/>
        <w:ind w:left="0"/>
        <w:jc w:val="center"/>
      </w:pPr>
      <w:r>
        <w:t>INSTRUMENTO I – FILOSOFIA DO DIREITO – 1C</w:t>
      </w:r>
    </w:p>
    <w:p w14:paraId="4398769B" w14:textId="2BB61EE8" w:rsidR="0082257B" w:rsidRDefault="0082257B" w:rsidP="00D5038A">
      <w:pPr>
        <w:spacing w:line="360" w:lineRule="auto"/>
        <w:ind w:left="0"/>
        <w:jc w:val="center"/>
      </w:pPr>
      <w:r>
        <w:t>NIETZSCHE E A QUESTÃO DA VIDA</w:t>
      </w:r>
    </w:p>
    <w:p w14:paraId="04CC7C2F" w14:textId="1FA7EF28" w:rsidR="0082257B" w:rsidRDefault="0082257B" w:rsidP="00D5038A">
      <w:pPr>
        <w:spacing w:line="360" w:lineRule="auto"/>
        <w:ind w:left="0"/>
        <w:jc w:val="center"/>
      </w:pPr>
      <w:r>
        <w:t>PROTÁGORAS E O RELATIVISMO</w:t>
      </w:r>
    </w:p>
    <w:p w14:paraId="51B21E02" w14:textId="77777777" w:rsidR="008140F0" w:rsidRDefault="008140F0" w:rsidP="00D5038A">
      <w:pPr>
        <w:spacing w:line="360" w:lineRule="auto"/>
        <w:ind w:left="0"/>
        <w:jc w:val="center"/>
      </w:pPr>
    </w:p>
    <w:p w14:paraId="5CC30B4A" w14:textId="06F97E5E" w:rsidR="00130BC4" w:rsidRDefault="00130BC4" w:rsidP="00D5038A">
      <w:pPr>
        <w:spacing w:line="360" w:lineRule="auto"/>
        <w:ind w:left="0"/>
        <w:jc w:val="right"/>
      </w:pPr>
      <w:r>
        <w:t xml:space="preserve">Beatriz </w:t>
      </w:r>
      <w:proofErr w:type="spellStart"/>
      <w:r>
        <w:t>Stefany</w:t>
      </w:r>
      <w:proofErr w:type="spellEnd"/>
      <w:r>
        <w:t xml:space="preserve"> Santos </w:t>
      </w:r>
      <w:proofErr w:type="spellStart"/>
      <w:r>
        <w:t>Kulza</w:t>
      </w:r>
      <w:proofErr w:type="spellEnd"/>
    </w:p>
    <w:p w14:paraId="4194ED66" w14:textId="77777777" w:rsidR="00F17AD4" w:rsidRDefault="00F17AD4" w:rsidP="00D5038A">
      <w:pPr>
        <w:spacing w:line="360" w:lineRule="auto"/>
        <w:ind w:left="0"/>
        <w:jc w:val="right"/>
      </w:pPr>
      <w:r>
        <w:t>Larissa</w:t>
      </w:r>
      <w:r w:rsidR="00B556BC">
        <w:t xml:space="preserve"> Victoria Araújo da Silva</w:t>
      </w:r>
    </w:p>
    <w:p w14:paraId="096441E4" w14:textId="77777777" w:rsidR="00130BC4" w:rsidRDefault="00130BC4" w:rsidP="00D5038A">
      <w:pPr>
        <w:spacing w:line="360" w:lineRule="auto"/>
        <w:ind w:left="0"/>
        <w:jc w:val="right"/>
      </w:pPr>
      <w:r>
        <w:t xml:space="preserve">Luíza Corrêa </w:t>
      </w:r>
      <w:proofErr w:type="spellStart"/>
      <w:r>
        <w:t>Bindão</w:t>
      </w:r>
      <w:proofErr w:type="spellEnd"/>
    </w:p>
    <w:p w14:paraId="66408784" w14:textId="07864131" w:rsidR="00F17AD4" w:rsidRDefault="00F17AD4" w:rsidP="00D5038A">
      <w:pPr>
        <w:spacing w:line="360" w:lineRule="auto"/>
        <w:ind w:left="0"/>
        <w:jc w:val="right"/>
      </w:pPr>
      <w:r>
        <w:t>Miqueias</w:t>
      </w:r>
      <w:r w:rsidR="003F21E7">
        <w:t xml:space="preserve"> </w:t>
      </w:r>
      <w:r w:rsidR="007767C2">
        <w:t xml:space="preserve">Gamaliel </w:t>
      </w:r>
      <w:r w:rsidR="003F21E7">
        <w:t>Andrade</w:t>
      </w:r>
    </w:p>
    <w:p w14:paraId="549BBBED" w14:textId="77777777" w:rsidR="00130BC4" w:rsidRDefault="00130BC4" w:rsidP="00D5038A">
      <w:pPr>
        <w:spacing w:line="360" w:lineRule="auto"/>
        <w:ind w:left="0"/>
        <w:jc w:val="right"/>
      </w:pPr>
      <w:r>
        <w:t>Tainá Alves da Silva</w:t>
      </w:r>
    </w:p>
    <w:p w14:paraId="75855F4B" w14:textId="77777777" w:rsidR="00130BC4" w:rsidRDefault="00130BC4" w:rsidP="00D5038A">
      <w:pPr>
        <w:spacing w:line="360" w:lineRule="auto"/>
        <w:ind w:left="0"/>
        <w:jc w:val="right"/>
      </w:pPr>
      <w:r>
        <w:t>Tobias da Silva Lino</w:t>
      </w:r>
    </w:p>
    <w:p w14:paraId="3084BC19" w14:textId="77777777" w:rsidR="003F21E7" w:rsidRDefault="003F21E7" w:rsidP="00D5038A">
      <w:pPr>
        <w:spacing w:line="360" w:lineRule="auto"/>
        <w:ind w:left="0"/>
        <w:contextualSpacing/>
        <w:mirrorIndents/>
        <w:jc w:val="both"/>
        <w:rPr>
          <w:bCs/>
          <w:iCs/>
          <w:sz w:val="32"/>
          <w:szCs w:val="32"/>
        </w:rPr>
      </w:pPr>
    </w:p>
    <w:p w14:paraId="25BE7C9A" w14:textId="71411247" w:rsidR="00BD4E70" w:rsidRPr="008140F0" w:rsidRDefault="008140F0" w:rsidP="00D5038A">
      <w:pPr>
        <w:spacing w:line="360" w:lineRule="auto"/>
        <w:ind w:left="0"/>
        <w:jc w:val="both"/>
        <w:rPr>
          <w:sz w:val="22"/>
        </w:rPr>
      </w:pPr>
      <w:r w:rsidRPr="008140F0">
        <w:t>NIETZSCHE E A QUESTÃO DA VIDA</w:t>
      </w:r>
    </w:p>
    <w:p w14:paraId="17BEDDD7" w14:textId="58E9668E" w:rsidR="00236F0F" w:rsidRDefault="005F4A67" w:rsidP="00D5038A">
      <w:pPr>
        <w:spacing w:line="360" w:lineRule="auto"/>
        <w:ind w:left="0" w:firstLine="708"/>
        <w:jc w:val="both"/>
      </w:pPr>
      <w:r>
        <w:t>Podemos delimitar a nossa análise da</w:t>
      </w:r>
      <w:r w:rsidR="007C104C">
        <w:t xml:space="preserve"> filosofia sobre a questão da vida</w:t>
      </w:r>
      <w:r>
        <w:t xml:space="preserve"> baseando-se no conceito de Eterno Retorno,</w:t>
      </w:r>
      <w:r w:rsidR="007C104C">
        <w:t xml:space="preserve"> de </w:t>
      </w:r>
      <w:r w:rsidR="00E35F52">
        <w:t>Friedrich Nietzsche (</w:t>
      </w:r>
      <w:r w:rsidR="007C104C">
        <w:t>1844 – 1900)</w:t>
      </w:r>
      <w:r>
        <w:t xml:space="preserve">. Ele, que </w:t>
      </w:r>
      <w:r w:rsidR="007C104C">
        <w:t xml:space="preserve">foi um filósofo, poeta e autor alemão, criado com uma educação rígida e princípios luteranos, desenvolve em suas obras </w:t>
      </w:r>
      <w:r w:rsidR="000D30BF">
        <w:t>a afirmação da morte do</w:t>
      </w:r>
      <w:r w:rsidR="00236F0F">
        <w:t xml:space="preserve"> Deus</w:t>
      </w:r>
      <w:r w:rsidR="000D30BF">
        <w:t xml:space="preserve"> pregado pelo cristianismo pelos iluministas que trouxeram a razão</w:t>
      </w:r>
      <w:r w:rsidR="00284520">
        <w:rPr>
          <w:rStyle w:val="Refdenotaderodap"/>
        </w:rPr>
        <w:footnoteReference w:id="1"/>
      </w:r>
      <w:r w:rsidR="00236F0F">
        <w:t>. Esta</w:t>
      </w:r>
      <w:r w:rsidR="00E63CA7">
        <w:t xml:space="preserve"> afirmação</w:t>
      </w:r>
      <w:r w:rsidR="00236F0F">
        <w:t xml:space="preserve"> serviria para a transformação da vida e </w:t>
      </w:r>
      <w:r w:rsidR="00E63CA7">
        <w:t>criação</w:t>
      </w:r>
      <w:r w:rsidR="00236F0F">
        <w:t xml:space="preserve"> de </w:t>
      </w:r>
      <w:r w:rsidR="00E63CA7">
        <w:t xml:space="preserve">novos </w:t>
      </w:r>
      <w:r w:rsidR="00236F0F">
        <w:t>valores segundo a concepção de que “o dualismo de mundos foi invenção do pensar metafísico e a fabulação da religião cristã” MARTON (2016</w:t>
      </w:r>
      <w:r w:rsidR="00E70E2A">
        <w:t>, p. 12</w:t>
      </w:r>
      <w:r w:rsidR="00236F0F">
        <w:t>).</w:t>
      </w:r>
      <w:r w:rsidR="00E63CA7">
        <w:t xml:space="preserve"> </w:t>
      </w:r>
    </w:p>
    <w:p w14:paraId="105135EF" w14:textId="77777777" w:rsidR="004859AF" w:rsidRPr="009203A8" w:rsidRDefault="004859AF" w:rsidP="00D5038A">
      <w:pPr>
        <w:spacing w:line="360" w:lineRule="auto"/>
        <w:ind w:left="0" w:firstLine="708"/>
        <w:jc w:val="both"/>
        <w:rPr>
          <w:sz w:val="32"/>
        </w:rPr>
      </w:pPr>
      <w:r>
        <w:t>Em Assim falava Zaratustra, podemos notar a noção cíclica da vida</w:t>
      </w:r>
      <w:r w:rsidR="009203A8">
        <w:t xml:space="preserve">: </w:t>
      </w:r>
      <w:r w:rsidRPr="009203A8">
        <w:t>“Tudo vai e passa - tudo volta – e volta até mesmo o ir e passar. Este agora já foi – já foi inúmeras vezes”.</w:t>
      </w:r>
      <w:r w:rsidR="009203A8">
        <w:rPr>
          <w:sz w:val="32"/>
        </w:rPr>
        <w:t xml:space="preserve"> </w:t>
      </w:r>
      <w:r>
        <w:t>Essa noção também é afirmada em:</w:t>
      </w:r>
    </w:p>
    <w:p w14:paraId="168EC77A" w14:textId="77777777" w:rsidR="004859AF" w:rsidRPr="004859AF" w:rsidRDefault="004859AF" w:rsidP="00D5038A">
      <w:pPr>
        <w:spacing w:line="360" w:lineRule="auto"/>
        <w:ind w:left="706"/>
        <w:jc w:val="both"/>
        <w:rPr>
          <w:sz w:val="20"/>
          <w:szCs w:val="20"/>
        </w:rPr>
      </w:pPr>
      <w:r w:rsidRPr="004859AF">
        <w:rPr>
          <w:sz w:val="20"/>
          <w:szCs w:val="20"/>
        </w:rPr>
        <w:t>“</w:t>
      </w:r>
      <w:r w:rsidR="009203A8" w:rsidRPr="009203A8">
        <w:rPr>
          <w:sz w:val="20"/>
          <w:szCs w:val="20"/>
        </w:rPr>
        <w:t>‘Agora morro e desapareço’, falarias,</w:t>
      </w:r>
      <w:r w:rsidR="009203A8">
        <w:rPr>
          <w:sz w:val="20"/>
          <w:szCs w:val="20"/>
        </w:rPr>
        <w:t xml:space="preserve"> ‘e num instante serei nada. As </w:t>
      </w:r>
      <w:r w:rsidR="009203A8" w:rsidRPr="009203A8">
        <w:rPr>
          <w:sz w:val="20"/>
          <w:szCs w:val="20"/>
        </w:rPr>
        <w:t>almas sã</w:t>
      </w:r>
      <w:r w:rsidR="009203A8">
        <w:rPr>
          <w:sz w:val="20"/>
          <w:szCs w:val="20"/>
        </w:rPr>
        <w:t xml:space="preserve">o tão mortais quanto os corpos. </w:t>
      </w:r>
      <w:r w:rsidR="009203A8" w:rsidRPr="009203A8">
        <w:rPr>
          <w:sz w:val="20"/>
          <w:szCs w:val="20"/>
        </w:rPr>
        <w:t>Mas o nó de causas em que estou emara</w:t>
      </w:r>
      <w:r w:rsidR="009203A8">
        <w:rPr>
          <w:sz w:val="20"/>
          <w:szCs w:val="20"/>
        </w:rPr>
        <w:t xml:space="preserve">nhado retornará — ele me criará </w:t>
      </w:r>
      <w:r w:rsidR="009203A8" w:rsidRPr="009203A8">
        <w:rPr>
          <w:sz w:val="20"/>
          <w:szCs w:val="20"/>
        </w:rPr>
        <w:t xml:space="preserve">novamente! Eu próprio estou entre as causas </w:t>
      </w:r>
      <w:r w:rsidR="009203A8">
        <w:rPr>
          <w:sz w:val="20"/>
          <w:szCs w:val="20"/>
        </w:rPr>
        <w:t>do eterno retorno</w:t>
      </w:r>
      <w:r w:rsidRPr="004859AF">
        <w:rPr>
          <w:sz w:val="20"/>
          <w:szCs w:val="20"/>
        </w:rPr>
        <w:t>”</w:t>
      </w:r>
      <w:r w:rsidR="009203A8">
        <w:rPr>
          <w:sz w:val="20"/>
          <w:szCs w:val="20"/>
        </w:rPr>
        <w:t xml:space="preserve"> (NIETZSCHE, 2011, p. 206).</w:t>
      </w:r>
    </w:p>
    <w:p w14:paraId="7E8748E4" w14:textId="58BA6B0D" w:rsidR="00B53F30" w:rsidRDefault="004859AF" w:rsidP="00D5038A">
      <w:pPr>
        <w:spacing w:line="360" w:lineRule="auto"/>
        <w:ind w:left="0" w:firstLine="708"/>
        <w:jc w:val="both"/>
      </w:pPr>
      <w:r>
        <w:lastRenderedPageBreak/>
        <w:t>Dessa forma, podemos identificar o conceito de Eterno Retorno na ideia de que tudo na vida</w:t>
      </w:r>
      <w:r w:rsidR="009203A8">
        <w:t xml:space="preserve"> começa, termina e retorna. Essa concepção </w:t>
      </w:r>
      <w:r w:rsidR="00D113F1">
        <w:t xml:space="preserve">também </w:t>
      </w:r>
      <w:r w:rsidR="009203A8">
        <w:t>tem como argumento “se a quantidade de matéria ou energia no universo é finita, então há um número finito de formas em que as coisas</w:t>
      </w:r>
      <w:r w:rsidR="00164B06">
        <w:t xml:space="preserve"> no Espaço podem ser arranjadas” (NETO, 2020 apud ALMEIDA, 2005)</w:t>
      </w:r>
      <w:r w:rsidR="008B2820">
        <w:rPr>
          <w:rStyle w:val="Refdenotaderodap"/>
        </w:rPr>
        <w:footnoteReference w:id="2"/>
      </w:r>
      <w:r w:rsidR="00164B06">
        <w:t>.</w:t>
      </w:r>
      <w:r w:rsidR="00D113F1">
        <w:t xml:space="preserve"> </w:t>
      </w:r>
    </w:p>
    <w:p w14:paraId="6B375422" w14:textId="6FCD5ABA" w:rsidR="006869F4" w:rsidRDefault="00D113F1" w:rsidP="00A975DE">
      <w:pPr>
        <w:spacing w:line="360" w:lineRule="auto"/>
        <w:ind w:left="0" w:firstLine="708"/>
        <w:jc w:val="both"/>
      </w:pPr>
      <w:r>
        <w:t>Dentro dessa concepção de como é a vida, Nietzsche pondera como podem ser as respostas para isso. A primeira é a do “total desespero coletivo, pois a condição humana é trágica, a vida contém muito sofrimento, e o pensamento de que viver tudo isso de uma forma cíclica, parece ser algo terrível” (NETO, 2020).</w:t>
      </w:r>
      <w:r w:rsidR="00A975DE">
        <w:t xml:space="preserve"> </w:t>
      </w:r>
      <w:r>
        <w:t>A outra resposta é o</w:t>
      </w:r>
      <w:r w:rsidR="00B35FEB">
        <w:t xml:space="preserve"> dizer</w:t>
      </w:r>
      <w:r>
        <w:t xml:space="preserve"> “Sim” para essa vida em totalidade, afirmando</w:t>
      </w:r>
      <w:r w:rsidR="00B35FEB">
        <w:t xml:space="preserve"> o que acontece sem recair nas definições de bem e mal” (ROMÃO, 2021). Nietzsche o define como </w:t>
      </w:r>
      <w:r w:rsidR="00B35FEB" w:rsidRPr="00B35FEB">
        <w:rPr>
          <w:i/>
        </w:rPr>
        <w:t>Amor fati</w:t>
      </w:r>
      <w:r w:rsidR="00B35FEB">
        <w:t xml:space="preserve">, que significa </w:t>
      </w:r>
      <w:r w:rsidR="00834B26">
        <w:rPr>
          <w:i/>
        </w:rPr>
        <w:t>Amor ao destino.</w:t>
      </w:r>
      <w:r w:rsidR="00834B26">
        <w:t xml:space="preserve"> Segundo MARTON (2016), isso não significa ter uma atitude de conformidade ou submissão, mas “aceitar tudo o que há de mais terrível e doloroso, mas também tudo o que há de mais alegre e exuberante na vida”.</w:t>
      </w:r>
      <w:r w:rsidR="006869F4">
        <w:t xml:space="preserve"> Conforme o próprio Nietzsche:</w:t>
      </w:r>
    </w:p>
    <w:p w14:paraId="4FE59182" w14:textId="71918BF1" w:rsidR="004A236F" w:rsidRPr="0082257B" w:rsidRDefault="006869F4" w:rsidP="00D5038A">
      <w:pPr>
        <w:spacing w:line="360" w:lineRule="auto"/>
        <w:ind w:left="707"/>
        <w:jc w:val="both"/>
        <w:rPr>
          <w:sz w:val="20"/>
        </w:rPr>
      </w:pPr>
      <w:r w:rsidRPr="006869F4">
        <w:rPr>
          <w:sz w:val="20"/>
        </w:rPr>
        <w:t xml:space="preserve">“Quero cada vez mais aprender a ver como belo aquilo que é necessário nas coisas: – assim me tornarei um daqueles que fazem belas as coisas. Amor fati [amor ao destino]: seja este, doravante, o meu amor! Não quero fazer guerra ao que é feio. Não quero acusar, não quero nem mesmo acusar os acusadores. Que a minha única negação seja desviar o olhar! E, tudo somado e em suma: quero ser, algum dia, apenas alguém que diz </w:t>
      </w:r>
      <w:proofErr w:type="gramStart"/>
      <w:r w:rsidRPr="006869F4">
        <w:rPr>
          <w:sz w:val="20"/>
        </w:rPr>
        <w:t>Sim!”</w:t>
      </w:r>
      <w:proofErr w:type="gramEnd"/>
      <w:r w:rsidRPr="006869F4">
        <w:rPr>
          <w:sz w:val="20"/>
        </w:rPr>
        <w:t xml:space="preserve"> (NIETZSCHE, 2012, p. 166).</w:t>
      </w:r>
    </w:p>
    <w:p w14:paraId="350C0164" w14:textId="77777777" w:rsidR="00F67546" w:rsidRDefault="00E13AAC" w:rsidP="00A975DE">
      <w:pPr>
        <w:spacing w:line="360" w:lineRule="auto"/>
        <w:ind w:left="0" w:firstLine="707"/>
        <w:jc w:val="both"/>
      </w:pPr>
      <w:r>
        <w:t xml:space="preserve">Aplicando esse conceito </w:t>
      </w:r>
      <w:r w:rsidR="00F67546">
        <w:t xml:space="preserve">em </w:t>
      </w:r>
      <w:r w:rsidR="0019506F">
        <w:t>algum evento</w:t>
      </w:r>
      <w:r w:rsidR="00F67546">
        <w:t xml:space="preserve"> da vida cotidiana</w:t>
      </w:r>
      <w:r w:rsidR="0019506F">
        <w:t>, como por exemplo</w:t>
      </w:r>
      <w:r w:rsidR="00F67546">
        <w:t xml:space="preserve">: </w:t>
      </w:r>
      <w:r w:rsidR="0019506F">
        <w:t xml:space="preserve">dirigir em alta velocidade, bater em outro carro e causar um acidente fatal, podemos facilmente identificar ambas posições a depender da atitude do motorista. Sob o seu ponto de vista, ele pode ou negar a vida procurando maneiras de justificar o acidente retirando sua própria “culpa”, atribuindo a razão do acidente ao motorista do outro carro e buscando sua própria absolvição de qualquer penalidade possível ou assumir que dirigir em velocidade alta poderia gerar um acidente, aceitando a vida como ela é e cumprindo com sua responsabilidade perante os outros. </w:t>
      </w:r>
    </w:p>
    <w:p w14:paraId="58FE0034" w14:textId="002F2023" w:rsidR="00B96C70" w:rsidRDefault="00834B26" w:rsidP="00A975DE">
      <w:pPr>
        <w:spacing w:line="360" w:lineRule="auto"/>
        <w:ind w:left="0" w:firstLine="707"/>
        <w:jc w:val="both"/>
      </w:pPr>
      <w:bookmarkStart w:id="0" w:name="_GoBack"/>
      <w:bookmarkEnd w:id="0"/>
      <w:r>
        <w:t xml:space="preserve">Portanto, afirmando que a vida é cíclica e, por consequência, tanto </w:t>
      </w:r>
      <w:proofErr w:type="gramStart"/>
      <w:r>
        <w:t>as coisas ruins</w:t>
      </w:r>
      <w:proofErr w:type="gramEnd"/>
      <w:r>
        <w:t>, quanto as boas continuarão acontecendo, devemos aceita-la como ela é e aproveitá-la de todas as for</w:t>
      </w:r>
      <w:r w:rsidR="00E13AAC">
        <w:t>mas sem negar o seu sofrimento ou tentar justificar os seus fracassos.</w:t>
      </w:r>
    </w:p>
    <w:p w14:paraId="053A5CB7" w14:textId="27E29110" w:rsidR="0082257B" w:rsidRDefault="0082257B" w:rsidP="00D5038A">
      <w:pPr>
        <w:spacing w:line="360" w:lineRule="auto"/>
        <w:ind w:left="0"/>
      </w:pPr>
    </w:p>
    <w:p w14:paraId="39E3E5E9" w14:textId="77777777" w:rsidR="00E9674E" w:rsidRDefault="00E9674E" w:rsidP="00D5038A">
      <w:pPr>
        <w:spacing w:line="360" w:lineRule="auto"/>
        <w:ind w:left="0"/>
      </w:pPr>
    </w:p>
    <w:p w14:paraId="66C74A97" w14:textId="11C24D9B" w:rsidR="00E32083" w:rsidRDefault="0082257B" w:rsidP="00D5038A">
      <w:pPr>
        <w:spacing w:line="360" w:lineRule="auto"/>
        <w:ind w:left="0"/>
        <w:jc w:val="both"/>
      </w:pPr>
      <w:r>
        <w:lastRenderedPageBreak/>
        <w:t>REFERÊNCIAS</w:t>
      </w:r>
    </w:p>
    <w:p w14:paraId="6627F5B1" w14:textId="77777777" w:rsidR="004B7FA0" w:rsidRPr="0082257B" w:rsidRDefault="004B7FA0" w:rsidP="00D5038A">
      <w:pPr>
        <w:spacing w:line="360" w:lineRule="auto"/>
        <w:ind w:left="0"/>
        <w:jc w:val="both"/>
      </w:pPr>
    </w:p>
    <w:p w14:paraId="06856371" w14:textId="77777777" w:rsidR="000C514B" w:rsidRDefault="000C514B" w:rsidP="00D5038A">
      <w:pPr>
        <w:spacing w:line="360" w:lineRule="auto"/>
        <w:ind w:left="0"/>
        <w:jc w:val="both"/>
      </w:pPr>
      <w:r>
        <w:t xml:space="preserve">MARTON, </w:t>
      </w:r>
      <w:proofErr w:type="spellStart"/>
      <w:r>
        <w:t>Scarlett</w:t>
      </w:r>
      <w:proofErr w:type="spellEnd"/>
      <w:r>
        <w:t xml:space="preserve">. </w:t>
      </w:r>
      <w:r w:rsidRPr="003C4F9B">
        <w:rPr>
          <w:b/>
        </w:rPr>
        <w:t xml:space="preserve">O eterno retorno do mesmo, “a concepção básica de </w:t>
      </w:r>
      <w:r w:rsidR="00B61B74" w:rsidRPr="003C4F9B">
        <w:rPr>
          <w:b/>
        </w:rPr>
        <w:t>Zaratustra</w:t>
      </w:r>
      <w:r w:rsidRPr="003C4F9B">
        <w:rPr>
          <w:b/>
        </w:rPr>
        <w:t>”.</w:t>
      </w:r>
      <w:r>
        <w:t xml:space="preserve"> Cad. Nietzsche, Guarulhos/Porto Seguro, v. 37, n.2, p. 11-46, 2016. Disponível em: &lt;</w:t>
      </w:r>
      <w:r w:rsidRPr="000C514B">
        <w:t>https://www.scielo.br/j/cniet/a/nXt4DyDDhrFts3CbW4rdYfn/?format=pdf&amp;lang=pt</w:t>
      </w:r>
      <w:r>
        <w:t xml:space="preserve">&gt;. Acessado em: 15 </w:t>
      </w:r>
      <w:r w:rsidR="009E04D4">
        <w:t>abr.</w:t>
      </w:r>
      <w:r>
        <w:t xml:space="preserve"> 2023.</w:t>
      </w:r>
    </w:p>
    <w:p w14:paraId="46449EB2" w14:textId="77777777" w:rsidR="00E32083" w:rsidRDefault="00CE0638" w:rsidP="00D5038A">
      <w:pPr>
        <w:spacing w:line="360" w:lineRule="auto"/>
        <w:ind w:left="0"/>
        <w:jc w:val="both"/>
      </w:pPr>
      <w:r>
        <w:t>NETO, E. R.</w:t>
      </w:r>
      <w:r w:rsidR="009E04D4">
        <w:t xml:space="preserve"> de</w:t>
      </w:r>
      <w:r>
        <w:t xml:space="preserve"> A. </w:t>
      </w:r>
      <w:r w:rsidRPr="003C4F9B">
        <w:rPr>
          <w:b/>
        </w:rPr>
        <w:t>O Eterno Retorno na Filosofia de Friedrich Nietzsche</w:t>
      </w:r>
      <w:r>
        <w:t xml:space="preserve">. </w:t>
      </w:r>
      <w:r w:rsidR="00DE6D9C">
        <w:t>FASBAM, 20 ago. 2020.</w:t>
      </w:r>
      <w:r>
        <w:t xml:space="preserve"> Disponível em: </w:t>
      </w:r>
      <w:r w:rsidR="000C514B">
        <w:t>&lt;</w:t>
      </w:r>
      <w:hyperlink r:id="rId8" w:history="1">
        <w:r w:rsidRPr="00AD0F0D">
          <w:rPr>
            <w:rStyle w:val="Hyperlink"/>
          </w:rPr>
          <w:t>https://fasbam.edu.br/2020/08/20/o-eterno-retorno-na-filosofia-de-friedrich-nietzsche/</w:t>
        </w:r>
      </w:hyperlink>
      <w:r w:rsidR="000C514B">
        <w:t>&gt;</w:t>
      </w:r>
      <w:r>
        <w:t xml:space="preserve">. Acessado em: 15 </w:t>
      </w:r>
      <w:r w:rsidR="009E04D4">
        <w:t>abr.</w:t>
      </w:r>
      <w:r>
        <w:t xml:space="preserve"> 2023.</w:t>
      </w:r>
    </w:p>
    <w:p w14:paraId="5188F8CA" w14:textId="77777777" w:rsidR="001C4FE1" w:rsidRDefault="001C4FE1" w:rsidP="00D5038A">
      <w:pPr>
        <w:spacing w:line="360" w:lineRule="auto"/>
        <w:ind w:left="0"/>
        <w:jc w:val="both"/>
      </w:pPr>
      <w:r>
        <w:t>NIETZSCHE, F. W</w:t>
      </w:r>
      <w:r w:rsidRPr="008C6EE8">
        <w:t xml:space="preserve">. </w:t>
      </w:r>
      <w:r w:rsidRPr="003C4F9B">
        <w:rPr>
          <w:b/>
        </w:rPr>
        <w:t>A gaia ciência</w:t>
      </w:r>
      <w:r w:rsidRPr="008C6EE8">
        <w:t>. Tr. Paulo César de Souza. São Paulo: Ed. Companhia das Letras, 2012</w:t>
      </w:r>
    </w:p>
    <w:p w14:paraId="0EBD4D54" w14:textId="77777777" w:rsidR="009203A8" w:rsidRDefault="001C4FE1" w:rsidP="00D5038A">
      <w:pPr>
        <w:spacing w:line="360" w:lineRule="auto"/>
        <w:ind w:left="0"/>
        <w:jc w:val="both"/>
      </w:pPr>
      <w:r>
        <w:t>______</w:t>
      </w:r>
      <w:r w:rsidR="009203A8">
        <w:t xml:space="preserve">. </w:t>
      </w:r>
      <w:r w:rsidR="009203A8" w:rsidRPr="003C4F9B">
        <w:rPr>
          <w:b/>
        </w:rPr>
        <w:t>Assim falou Zaratustra: um livro para todos e para ninguém</w:t>
      </w:r>
      <w:r w:rsidR="009203A8">
        <w:t>.</w:t>
      </w:r>
      <w:r>
        <w:t xml:space="preserve"> </w:t>
      </w:r>
      <w:r w:rsidRPr="008C6EE8">
        <w:t xml:space="preserve">Tr. Paulo César de Souza. </w:t>
      </w:r>
      <w:r w:rsidR="009203A8">
        <w:t>São Paulo: Companhia das Letras, 201</w:t>
      </w:r>
      <w:r>
        <w:t>8</w:t>
      </w:r>
      <w:r w:rsidR="009203A8">
        <w:t>.</w:t>
      </w:r>
    </w:p>
    <w:p w14:paraId="0F4C513B" w14:textId="1CA20E6D" w:rsidR="009203A8" w:rsidRDefault="009E04D4" w:rsidP="00D5038A">
      <w:pPr>
        <w:spacing w:line="360" w:lineRule="auto"/>
        <w:ind w:left="0"/>
        <w:jc w:val="both"/>
      </w:pPr>
      <w:r w:rsidRPr="009E04D4">
        <w:t xml:space="preserve">ROMÃO, A. de A. </w:t>
      </w:r>
      <w:r w:rsidRPr="003C4F9B">
        <w:rPr>
          <w:b/>
        </w:rPr>
        <w:t>Amor fati: delineamentos da afirmação em Nietzsche e Deleuze</w:t>
      </w:r>
      <w:r w:rsidRPr="009E04D4">
        <w:t xml:space="preserve">. Primeiros </w:t>
      </w:r>
      <w:r>
        <w:t xml:space="preserve">Escritos, [S. l.], v. 11, n. 1, </w:t>
      </w:r>
      <w:r w:rsidRPr="009E04D4">
        <w:t>p. 162-171, 2021. DOI: 10.11606/issn.2594-5920.primeirosescritos.2021.178112. Disponível em: https://www.revistas.usp.br/primeirosescritos/article/view/178112. Acesso em: 15 abr. 2023.</w:t>
      </w:r>
    </w:p>
    <w:p w14:paraId="3D433FD9" w14:textId="63264495" w:rsidR="0082257B" w:rsidRDefault="0082257B" w:rsidP="00D5038A">
      <w:pPr>
        <w:spacing w:line="360" w:lineRule="auto"/>
        <w:ind w:left="0"/>
        <w:jc w:val="both"/>
      </w:pPr>
    </w:p>
    <w:p w14:paraId="4E21F85F" w14:textId="0842321A" w:rsidR="00E9674E" w:rsidRDefault="00E9674E" w:rsidP="00D5038A">
      <w:pPr>
        <w:spacing w:line="360" w:lineRule="auto"/>
        <w:ind w:left="0"/>
        <w:jc w:val="both"/>
      </w:pPr>
    </w:p>
    <w:p w14:paraId="6E88BDE6" w14:textId="0EEA1213" w:rsidR="00E9674E" w:rsidRDefault="00E9674E" w:rsidP="00D5038A">
      <w:pPr>
        <w:spacing w:line="360" w:lineRule="auto"/>
        <w:ind w:left="0"/>
        <w:jc w:val="both"/>
      </w:pPr>
    </w:p>
    <w:p w14:paraId="44C41D92" w14:textId="32AF4C7F" w:rsidR="00E9674E" w:rsidRDefault="00E9674E" w:rsidP="00D5038A">
      <w:pPr>
        <w:spacing w:line="360" w:lineRule="auto"/>
        <w:ind w:left="0"/>
        <w:jc w:val="both"/>
      </w:pPr>
    </w:p>
    <w:p w14:paraId="0A16718B" w14:textId="02F3C752" w:rsidR="00E9674E" w:rsidRDefault="00E9674E" w:rsidP="00D5038A">
      <w:pPr>
        <w:spacing w:line="360" w:lineRule="auto"/>
        <w:ind w:left="0"/>
        <w:jc w:val="both"/>
      </w:pPr>
    </w:p>
    <w:p w14:paraId="5D323EF9" w14:textId="6BA6D168" w:rsidR="002A01C8" w:rsidRDefault="002A01C8">
      <w:r>
        <w:br w:type="page"/>
      </w:r>
    </w:p>
    <w:p w14:paraId="4611757A" w14:textId="77777777" w:rsidR="003C4F9B" w:rsidRPr="008140F0" w:rsidRDefault="003C4F9B" w:rsidP="00D5038A">
      <w:pPr>
        <w:spacing w:line="360" w:lineRule="auto"/>
        <w:ind w:left="0"/>
        <w:contextualSpacing/>
        <w:mirrorIndents/>
        <w:jc w:val="both"/>
        <w:rPr>
          <w:iCs/>
          <w:szCs w:val="32"/>
        </w:rPr>
      </w:pPr>
      <w:r>
        <w:rPr>
          <w:iCs/>
          <w:szCs w:val="32"/>
        </w:rPr>
        <w:lastRenderedPageBreak/>
        <w:t>PROTÁGORAS E O RELATIVISMO</w:t>
      </w:r>
    </w:p>
    <w:p w14:paraId="26D4AE67" w14:textId="77777777" w:rsidR="003C4F9B" w:rsidRDefault="003C4F9B" w:rsidP="00D5038A">
      <w:pPr>
        <w:spacing w:line="360" w:lineRule="auto"/>
        <w:ind w:left="0"/>
        <w:contextualSpacing/>
        <w:mirrorIndents/>
        <w:jc w:val="both"/>
      </w:pPr>
    </w:p>
    <w:p w14:paraId="7516F8A9" w14:textId="231C357D" w:rsidR="003C4F9B" w:rsidRPr="00D5038A" w:rsidRDefault="003C4F9B" w:rsidP="00D5038A">
      <w:pPr>
        <w:spacing w:line="360" w:lineRule="auto"/>
        <w:ind w:left="0" w:firstLine="708"/>
        <w:contextualSpacing/>
        <w:mirrorIndents/>
        <w:jc w:val="both"/>
      </w:pPr>
      <w:r>
        <w:t>Protágoras é conhecido por sua defesa do relativismo, que levou alguns estudiosos modernos a considerá-lo como “o pai do relativismo”. No pensamento do filósofo, tudo é movimento. Ele afirmava que a verdade é relativa à perspectiva de cada indivíduo, e, acreditava que não há uma verdade absoluta e que todas as verdades são igualmente válidas, uma vez que dependem da perspectiva de quem as enuncia. Dessa forma, Protágoras propôs que cada indivíduo é livre para criar sua própria narrativa e construir sua própria verdade, e que essa verdade é tão válida quanto qualquer outra. Esse pensamento pode ser sustentado a partir da análise de sua frase:</w:t>
      </w:r>
    </w:p>
    <w:p w14:paraId="0D4E71D2" w14:textId="77777777" w:rsidR="003C4F9B" w:rsidRPr="00D5038A" w:rsidRDefault="003C4F9B" w:rsidP="00D5038A">
      <w:pPr>
        <w:spacing w:after="240" w:line="360" w:lineRule="auto"/>
        <w:ind w:left="1416"/>
        <w:jc w:val="both"/>
        <w:rPr>
          <w:sz w:val="20"/>
          <w:szCs w:val="20"/>
        </w:rPr>
      </w:pPr>
      <w:r w:rsidRPr="00D5038A">
        <w:rPr>
          <w:sz w:val="20"/>
          <w:szCs w:val="20"/>
        </w:rPr>
        <w:t>“Tal como cada coisa se apresenta para mim, assim ela é para mim, tal como ela se apresenta para você, assim ela é para você”.</w:t>
      </w:r>
    </w:p>
    <w:p w14:paraId="47614D9F" w14:textId="1130C6F4" w:rsidR="003C4F9B" w:rsidRDefault="003C4F9B" w:rsidP="00D5038A">
      <w:pPr>
        <w:spacing w:line="360" w:lineRule="auto"/>
        <w:ind w:left="0" w:firstLine="708"/>
        <w:contextualSpacing/>
        <w:mirrorIndents/>
        <w:jc w:val="both"/>
      </w:pPr>
      <w:r>
        <w:t xml:space="preserve">Essa visão relativista de Protágoras pode ser aplicada a várias áreas da vida, como a ética e a moralidade. Segundo ele, é necessário o conflito de dois movimentos correlativos e de direção contrária, um chamado ativo, e outro, passivo, para que as coisas surjam. O bem e o </w:t>
      </w:r>
      <w:proofErr w:type="gramStart"/>
      <w:r>
        <w:t>mal são</w:t>
      </w:r>
      <w:proofErr w:type="gramEnd"/>
      <w:r>
        <w:t xml:space="preserve"> relativos e dependem da perspectiva de cada indivíduo. O que é considerado bom ou mal pode variar de acordo com a cultura, época ou situação. Da mesma forma por que as coisas surgem de conflito de movimentos, as qualidades delas são produzidas em nossos sentidos, conforme afirmado em sua frase:</w:t>
      </w:r>
      <w:r w:rsidR="008B2820">
        <w:t xml:space="preserve"> </w:t>
      </w:r>
      <w:r w:rsidRPr="008B2820">
        <w:rPr>
          <w:i/>
          <w:szCs w:val="18"/>
        </w:rPr>
        <w:t>“</w:t>
      </w:r>
      <w:r w:rsidRPr="008B2820">
        <w:rPr>
          <w:szCs w:val="18"/>
        </w:rPr>
        <w:t xml:space="preserve">Todo o argumento permite sempre a discussão de duas </w:t>
      </w:r>
      <w:r w:rsidR="0082257B" w:rsidRPr="008B2820">
        <w:rPr>
          <w:szCs w:val="18"/>
        </w:rPr>
        <w:t>teses</w:t>
      </w:r>
      <w:r w:rsidRPr="008B2820">
        <w:rPr>
          <w:szCs w:val="18"/>
        </w:rPr>
        <w:t xml:space="preserve"> contrárias, inclusive este de que </w:t>
      </w:r>
      <w:r w:rsidR="0082257B" w:rsidRPr="008B2820">
        <w:rPr>
          <w:szCs w:val="18"/>
        </w:rPr>
        <w:t>a tese favorável e contrária é</w:t>
      </w:r>
      <w:r w:rsidRPr="008B2820">
        <w:rPr>
          <w:szCs w:val="18"/>
        </w:rPr>
        <w:t xml:space="preserve"> igualmente defensáveis”</w:t>
      </w:r>
      <w:r w:rsidR="00CF2306">
        <w:rPr>
          <w:rStyle w:val="Refdenotaderodap"/>
          <w:szCs w:val="18"/>
        </w:rPr>
        <w:footnoteReference w:id="3"/>
      </w:r>
      <w:r w:rsidRPr="008B2820">
        <w:rPr>
          <w:szCs w:val="18"/>
        </w:rPr>
        <w:t>.</w:t>
      </w:r>
    </w:p>
    <w:p w14:paraId="7AEBACD1" w14:textId="77777777" w:rsidR="003C4F9B" w:rsidRDefault="003C4F9B" w:rsidP="00D5038A">
      <w:pPr>
        <w:spacing w:line="360" w:lineRule="auto"/>
        <w:ind w:left="0" w:firstLine="708"/>
        <w:contextualSpacing/>
        <w:mirrorIndents/>
        <w:jc w:val="both"/>
      </w:pPr>
      <w:r>
        <w:t>Porém, é importante destacar que o relativismo não significa que não exista nenhuma verdade objetiva ou que todas as verdades sejam igualmente válidas. Na verdade, a visão de Protágoras é mais complexa do que isso e envolve uma compreensão mais profunda da natureza da verdade e da percepção humana.</w:t>
      </w:r>
    </w:p>
    <w:p w14:paraId="3E51C8E2" w14:textId="2EAFD24E" w:rsidR="003C4F9B" w:rsidRDefault="003C4F9B" w:rsidP="00D5038A">
      <w:pPr>
        <w:spacing w:line="360" w:lineRule="auto"/>
        <w:ind w:left="0" w:firstLine="708"/>
        <w:contextualSpacing/>
        <w:mirrorIndents/>
        <w:jc w:val="both"/>
      </w:pPr>
      <w:r>
        <w:t>De qualquer forma, a filosofia de Protágoras é importante porque questiona a ideia de que existe uma verdade absoluta e que essa verdade pode ser conhecida por todos. Ele nos lembra que a verdade é sempre uma construção humana e que cada indivíduo tem sua própria perspectiva e narrativa. Tudo é incerto e relativo, mas tudo existe e tem importância na medida da apreensão individual, no âmbito do universo humano.</w:t>
      </w:r>
    </w:p>
    <w:p w14:paraId="23D4D88D" w14:textId="63992D69" w:rsidR="004B7FA0" w:rsidRDefault="004B7FA0" w:rsidP="004B7FA0">
      <w:pPr>
        <w:spacing w:line="360" w:lineRule="auto"/>
        <w:contextualSpacing/>
        <w:mirrorIndents/>
        <w:jc w:val="both"/>
      </w:pPr>
      <w:r>
        <w:t>REFERÊNCIAS</w:t>
      </w:r>
    </w:p>
    <w:p w14:paraId="06700025" w14:textId="77777777" w:rsidR="004B7FA0" w:rsidRDefault="004B7FA0" w:rsidP="00D914E5">
      <w:pPr>
        <w:spacing w:line="360" w:lineRule="auto"/>
        <w:contextualSpacing/>
        <w:mirrorIndents/>
      </w:pPr>
    </w:p>
    <w:p w14:paraId="7499E57C" w14:textId="49232041" w:rsidR="004B7FA0" w:rsidRDefault="004B7FA0" w:rsidP="00D914E5">
      <w:pPr>
        <w:spacing w:line="360" w:lineRule="auto"/>
        <w:contextualSpacing/>
        <w:mirrorIndents/>
      </w:pPr>
      <w:r>
        <w:lastRenderedPageBreak/>
        <w:t xml:space="preserve">DUMONT, J. P. </w:t>
      </w:r>
      <w:r w:rsidRPr="004B7FA0">
        <w:rPr>
          <w:b/>
        </w:rPr>
        <w:t>Elementos de história da filosofia antiga</w:t>
      </w:r>
      <w:r>
        <w:t xml:space="preserve">. Brasília: </w:t>
      </w:r>
      <w:proofErr w:type="spellStart"/>
      <w:r>
        <w:t>EdUnB</w:t>
      </w:r>
      <w:proofErr w:type="spellEnd"/>
      <w:r>
        <w:t>, 2005.</w:t>
      </w:r>
    </w:p>
    <w:p w14:paraId="696F591D" w14:textId="77777777" w:rsidR="007464AC" w:rsidRDefault="007464AC" w:rsidP="00D914E5">
      <w:pPr>
        <w:spacing w:line="360" w:lineRule="auto"/>
        <w:contextualSpacing/>
        <w:mirrorIndents/>
      </w:pPr>
    </w:p>
    <w:p w14:paraId="0C2FFA63" w14:textId="09930D3B" w:rsidR="004B7FA0" w:rsidRDefault="004B7FA0" w:rsidP="00D914E5">
      <w:pPr>
        <w:spacing w:line="360" w:lineRule="auto"/>
        <w:contextualSpacing/>
        <w:mirrorIndents/>
      </w:pPr>
      <w:r>
        <w:t xml:space="preserve">KIRK G. S. </w:t>
      </w:r>
      <w:r w:rsidRPr="004B7FA0">
        <w:rPr>
          <w:b/>
        </w:rPr>
        <w:t>Os Filósofos pré-socráticos.</w:t>
      </w:r>
      <w:r>
        <w:t xml:space="preserve"> Ed. Lisboa: </w:t>
      </w:r>
      <w:proofErr w:type="spellStart"/>
      <w:r>
        <w:t>Calouste</w:t>
      </w:r>
      <w:proofErr w:type="spellEnd"/>
      <w:r>
        <w:t xml:space="preserve"> </w:t>
      </w:r>
      <w:proofErr w:type="spellStart"/>
      <w:r>
        <w:t>Gulbenkian</w:t>
      </w:r>
      <w:proofErr w:type="spellEnd"/>
      <w:r>
        <w:t>, 1994.</w:t>
      </w:r>
    </w:p>
    <w:p w14:paraId="07C5DDAB" w14:textId="77777777" w:rsidR="007464AC" w:rsidRDefault="007464AC" w:rsidP="00D914E5">
      <w:pPr>
        <w:spacing w:line="360" w:lineRule="auto"/>
        <w:contextualSpacing/>
        <w:mirrorIndents/>
      </w:pPr>
    </w:p>
    <w:p w14:paraId="173A5EA8" w14:textId="79A3461E" w:rsidR="006067D3" w:rsidRDefault="006067D3" w:rsidP="00D914E5">
      <w:pPr>
        <w:spacing w:line="360" w:lineRule="auto"/>
        <w:contextualSpacing/>
        <w:mirrorIndents/>
      </w:pPr>
      <w:r w:rsidRPr="00CF2306">
        <w:t xml:space="preserve">Protágoras. </w:t>
      </w:r>
      <w:r w:rsidR="00CF2306">
        <w:rPr>
          <w:b/>
        </w:rPr>
        <w:t>Filosofia na Escola</w:t>
      </w:r>
      <w:r w:rsidR="00CF2306">
        <w:t>. 23 ago. 2019. Disponível em: &lt;</w:t>
      </w:r>
      <w:hyperlink r:id="rId9" w:history="1">
        <w:r w:rsidR="00CF2306" w:rsidRPr="001C3E50">
          <w:rPr>
            <w:rStyle w:val="Hyperlink"/>
          </w:rPr>
          <w:t>https://filosofianaescola.com/filosofos/protagoras/</w:t>
        </w:r>
      </w:hyperlink>
      <w:r w:rsidR="00CF2306">
        <w:t>&gt;. Acesso em: 16 abr. 2023.</w:t>
      </w:r>
    </w:p>
    <w:p w14:paraId="3C0792AF" w14:textId="77777777" w:rsidR="007464AC" w:rsidRDefault="007464AC" w:rsidP="00D914E5">
      <w:pPr>
        <w:spacing w:line="360" w:lineRule="auto"/>
        <w:contextualSpacing/>
        <w:mirrorIndents/>
      </w:pPr>
    </w:p>
    <w:p w14:paraId="101C3281" w14:textId="4CD5AAD5" w:rsidR="00CF2306" w:rsidRPr="00CF2306" w:rsidRDefault="00CF2306" w:rsidP="00D914E5">
      <w:pPr>
        <w:spacing w:line="360" w:lineRule="auto"/>
        <w:contextualSpacing/>
        <w:mirrorIndents/>
      </w:pPr>
      <w:r>
        <w:t xml:space="preserve">A teoria relativística de Protágoras. </w:t>
      </w:r>
      <w:proofErr w:type="spellStart"/>
      <w:r>
        <w:rPr>
          <w:b/>
        </w:rPr>
        <w:t>Maestrovirtuale</w:t>
      </w:r>
      <w:proofErr w:type="spellEnd"/>
      <w:r>
        <w:t>. Disponível em: &lt;</w:t>
      </w:r>
      <w:r w:rsidRPr="00CF2306">
        <w:t>https://maestrovirtuale.com/a-teoria-relativistica-de-protagoras/</w:t>
      </w:r>
      <w:r>
        <w:t>&gt;. Acesso em: 16 abr. 2023.</w:t>
      </w:r>
    </w:p>
    <w:p w14:paraId="5C766BC6" w14:textId="1ADE9951" w:rsidR="003C4F9B" w:rsidRPr="003F21E7" w:rsidRDefault="003C4F9B" w:rsidP="00D914E5">
      <w:pPr>
        <w:spacing w:line="360" w:lineRule="auto"/>
        <w:ind w:left="0"/>
      </w:pPr>
    </w:p>
    <w:sectPr w:rsidR="003C4F9B" w:rsidRPr="003F21E7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1EB47" w14:textId="77777777" w:rsidR="00DA21F0" w:rsidRDefault="00DA21F0" w:rsidP="0082257B">
      <w:pPr>
        <w:spacing w:after="0" w:line="240" w:lineRule="auto"/>
      </w:pPr>
      <w:r>
        <w:separator/>
      </w:r>
    </w:p>
  </w:endnote>
  <w:endnote w:type="continuationSeparator" w:id="0">
    <w:p w14:paraId="587E0697" w14:textId="77777777" w:rsidR="00DA21F0" w:rsidRDefault="00DA21F0" w:rsidP="008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66150" w14:textId="77777777" w:rsidR="00DA21F0" w:rsidRDefault="00DA21F0" w:rsidP="0082257B">
      <w:pPr>
        <w:spacing w:after="0" w:line="240" w:lineRule="auto"/>
      </w:pPr>
      <w:r>
        <w:separator/>
      </w:r>
    </w:p>
  </w:footnote>
  <w:footnote w:type="continuationSeparator" w:id="0">
    <w:p w14:paraId="24A546F6" w14:textId="77777777" w:rsidR="00DA21F0" w:rsidRDefault="00DA21F0" w:rsidP="0082257B">
      <w:pPr>
        <w:spacing w:after="0" w:line="240" w:lineRule="auto"/>
      </w:pPr>
      <w:r>
        <w:continuationSeparator/>
      </w:r>
    </w:p>
  </w:footnote>
  <w:footnote w:id="1">
    <w:p w14:paraId="03A13132" w14:textId="77777777" w:rsidR="00284520" w:rsidRDefault="00284520" w:rsidP="00284520">
      <w:pPr>
        <w:pStyle w:val="Textodenotaderodap"/>
      </w:pPr>
      <w:r>
        <w:rPr>
          <w:rStyle w:val="Refdenotaderodap"/>
        </w:rPr>
        <w:footnoteRef/>
      </w:r>
      <w:r>
        <w:t xml:space="preserve"> “O homem louco se lançou para o meio deles e trespassou-os com seu olhar. ‘Para onde foi Deus? “, gritou ele, ‘já lhes direi! Nós o matamos – vocês e eu. Somos todos seus assassinos”. NIETZSCHE, F. A Gaia Ciência. Trad. Paulo César de Souza. São Paulo: Companhia das Letras, 2001. p. 147.</w:t>
      </w:r>
    </w:p>
    <w:p w14:paraId="0D104156" w14:textId="019D1E54" w:rsidR="00284520" w:rsidRDefault="00284520">
      <w:pPr>
        <w:pStyle w:val="Textodenotaderodap"/>
      </w:pPr>
    </w:p>
  </w:footnote>
  <w:footnote w:id="2">
    <w:p w14:paraId="5B14B439" w14:textId="2800064E" w:rsidR="008B2820" w:rsidRDefault="008B282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B2820">
        <w:t>ALMEIDA, Rogério Miranda de. Nietzsche e Freud: eterno retorno e compulsão à repetição. São Paulo: Loyola, 2005.</w:t>
      </w:r>
    </w:p>
  </w:footnote>
  <w:footnote w:id="3">
    <w:p w14:paraId="174D491F" w14:textId="4514D46F" w:rsidR="00CF2306" w:rsidRDefault="00CF230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B2820">
        <w:t>"Relato do leitor" em Só Filosofia. Virtuous Tecnologia da Informação, 2008-2023. Disponível em: &lt;http://filosofia.com.br/vi_relato.php?id=116&gt;. Acesso em: 16 abr. 2023.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707"/>
    <w:multiLevelType w:val="hybridMultilevel"/>
    <w:tmpl w:val="999A4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14E31"/>
    <w:multiLevelType w:val="hybridMultilevel"/>
    <w:tmpl w:val="A468B2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47075"/>
    <w:multiLevelType w:val="hybridMultilevel"/>
    <w:tmpl w:val="01BA9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83"/>
    <w:rsid w:val="00090E05"/>
    <w:rsid w:val="000C514B"/>
    <w:rsid w:val="000D30BF"/>
    <w:rsid w:val="00130BC4"/>
    <w:rsid w:val="001576E2"/>
    <w:rsid w:val="00164B06"/>
    <w:rsid w:val="0019506F"/>
    <w:rsid w:val="001B7B82"/>
    <w:rsid w:val="001C4FE1"/>
    <w:rsid w:val="00236F0F"/>
    <w:rsid w:val="00255034"/>
    <w:rsid w:val="00284520"/>
    <w:rsid w:val="002A01C8"/>
    <w:rsid w:val="002F5C5C"/>
    <w:rsid w:val="003C4F9B"/>
    <w:rsid w:val="003F21E7"/>
    <w:rsid w:val="004401EB"/>
    <w:rsid w:val="004859AF"/>
    <w:rsid w:val="004A236F"/>
    <w:rsid w:val="004B7FA0"/>
    <w:rsid w:val="005F4A67"/>
    <w:rsid w:val="006067D3"/>
    <w:rsid w:val="006869F4"/>
    <w:rsid w:val="00735E0D"/>
    <w:rsid w:val="007464AC"/>
    <w:rsid w:val="007767C2"/>
    <w:rsid w:val="007C104C"/>
    <w:rsid w:val="00800D5D"/>
    <w:rsid w:val="00806DCA"/>
    <w:rsid w:val="008140F0"/>
    <w:rsid w:val="0082257B"/>
    <w:rsid w:val="00834B26"/>
    <w:rsid w:val="008B2820"/>
    <w:rsid w:val="008C6EE8"/>
    <w:rsid w:val="009203A8"/>
    <w:rsid w:val="009613CF"/>
    <w:rsid w:val="009E04D4"/>
    <w:rsid w:val="00A662DA"/>
    <w:rsid w:val="00A975DE"/>
    <w:rsid w:val="00B204C3"/>
    <w:rsid w:val="00B35FEB"/>
    <w:rsid w:val="00B53F30"/>
    <w:rsid w:val="00B556BC"/>
    <w:rsid w:val="00B61B74"/>
    <w:rsid w:val="00B96C70"/>
    <w:rsid w:val="00BD4E70"/>
    <w:rsid w:val="00BF05BE"/>
    <w:rsid w:val="00CE0638"/>
    <w:rsid w:val="00CF2306"/>
    <w:rsid w:val="00D10723"/>
    <w:rsid w:val="00D113F1"/>
    <w:rsid w:val="00D5038A"/>
    <w:rsid w:val="00D85193"/>
    <w:rsid w:val="00D914E5"/>
    <w:rsid w:val="00DA21F0"/>
    <w:rsid w:val="00DE6D9C"/>
    <w:rsid w:val="00E13AAC"/>
    <w:rsid w:val="00E32083"/>
    <w:rsid w:val="00E35F52"/>
    <w:rsid w:val="00E63CA7"/>
    <w:rsid w:val="00E70E2A"/>
    <w:rsid w:val="00E82CB9"/>
    <w:rsid w:val="00E9674E"/>
    <w:rsid w:val="00F17AD4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7424"/>
  <w15:chartTrackingRefBased/>
  <w15:docId w15:val="{64FCC47E-4B42-48EE-B436-FA899786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20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063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10723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F21E7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225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225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2257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B282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B282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B28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bam.edu.br/2020/08/20/o-eterno-retorno-na-filosofia-de-friedrich-nietzsch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losofianaescola.com/filosofos/protagor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8A89F9B4-10AE-4CCC-9D79-4831AFF4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1212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17</cp:revision>
  <cp:lastPrinted>2023-04-16T19:16:00Z</cp:lastPrinted>
  <dcterms:created xsi:type="dcterms:W3CDTF">2023-04-16T18:40:00Z</dcterms:created>
  <dcterms:modified xsi:type="dcterms:W3CDTF">2023-04-16T20:31:00Z</dcterms:modified>
</cp:coreProperties>
</file>