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FA" w:rsidRDefault="007E2AFA" w:rsidP="008D612A">
      <w:r>
        <w:t>PENSAMENTO POLÍTICO BRASILEIRO</w:t>
      </w:r>
    </w:p>
    <w:p w:rsidR="00D524F2" w:rsidRDefault="00D524F2" w:rsidP="004B268C">
      <w:r>
        <w:t>Segundo Faoro (1987), o pensamento político brasileiro tem origem no pensamento político português.</w:t>
      </w:r>
      <w:r w:rsidR="004B268C">
        <w:t xml:space="preserve"> Nesse sentido, é importante pensar na política brasileira a partir do contexto histórico de Portugal, considerando as ideias colonialistas e as políticas absolutista e mercantilista em contraposição com as</w:t>
      </w:r>
      <w:r w:rsidR="00872828">
        <w:t xml:space="preserve"> ideias</w:t>
      </w:r>
      <w:r w:rsidR="004B268C">
        <w:t xml:space="preserve"> do iluminismo e a política liberal burguesa.</w:t>
      </w:r>
    </w:p>
    <w:p w:rsidR="00441C5E" w:rsidRDefault="00D323CE" w:rsidP="00B04D7D">
      <w:r>
        <w:t>Com o iluminismo europeu e as teorias da soberania popular, evidencia-se o i</w:t>
      </w:r>
      <w:r w:rsidR="00441C5E">
        <w:t>solamento de Portugal</w:t>
      </w:r>
      <w:r>
        <w:t xml:space="preserve"> na Europa, até então imune a elas </w:t>
      </w:r>
      <w:r w:rsidR="00441C5E">
        <w:t>(</w:t>
      </w:r>
      <w:r>
        <w:t>SKINNER, 1979, p 53). Além disso</w:t>
      </w:r>
      <w:r w:rsidR="007418F5">
        <w:t xml:space="preserve">, conforme </w:t>
      </w:r>
      <w:proofErr w:type="spellStart"/>
      <w:r w:rsidR="007418F5">
        <w:t>Mesnard</w:t>
      </w:r>
      <w:proofErr w:type="spellEnd"/>
      <w:r w:rsidR="007418F5">
        <w:rPr>
          <w:rStyle w:val="Refdenotaderodap"/>
        </w:rPr>
        <w:footnoteReference w:id="1"/>
      </w:r>
      <w:r w:rsidR="007418F5">
        <w:t xml:space="preserve"> (</w:t>
      </w:r>
      <w:r w:rsidR="00B04D7D">
        <w:rPr>
          <w:i/>
        </w:rPr>
        <w:t>apud</w:t>
      </w:r>
      <w:r w:rsidR="00B04D7D">
        <w:t xml:space="preserve"> FAORO, 1987</w:t>
      </w:r>
      <w:r w:rsidR="007418F5">
        <w:t>)</w:t>
      </w:r>
      <w:r>
        <w:t>, com o Reino preocupado em conquistar metade do mundo com o Tratado de Tordesilhas</w:t>
      </w:r>
      <w:r w:rsidR="00B04D7D">
        <w:t>, a secularização da política, libertando-se da teologia e do papado, se demonstra oposta ao seus interesses. Faoro</w:t>
      </w:r>
      <w:r w:rsidR="002D475F">
        <w:t xml:space="preserve"> (1987)</w:t>
      </w:r>
      <w:r w:rsidR="00B04D7D">
        <w:t xml:space="preserve"> ainda afirma que essa preocupação explica a ausência de Maquiavel na cultura portuguesa, pois romperia com a segurança da religião institucionalizada, garantindo, </w:t>
      </w:r>
      <w:r w:rsidR="00C441E9">
        <w:t>pelo papado, a empresa marítima e a proteção contra agressões de outros países.</w:t>
      </w:r>
    </w:p>
    <w:p w:rsidR="00B02444" w:rsidRDefault="00831F3E" w:rsidP="00831F3E">
      <w:r>
        <w:t>No período colonial, o pensamento político segue dentro da ordem administrativa e nas manifestações literárias. Com a ideia de que o mundo colonial deveria ser uma cópia do mundo português, segundo as normas absolutistas daquela época, tais manifestação expressam, com frequência, a oposição aos padrões estabelecidos,</w:t>
      </w:r>
      <w:r w:rsidR="00B02444">
        <w:t xml:space="preserve"> como os protestos de Gregório de Matos (1633-96)</w:t>
      </w:r>
      <w:r w:rsidR="0032241E">
        <w:t>, os sermões do padre Antônio Vieira (1608-1697) e as correspondências jesuítas desde as Car</w:t>
      </w:r>
      <w:r>
        <w:t>tas de Nóbrega até a Cultura e O</w:t>
      </w:r>
      <w:r w:rsidR="0032241E">
        <w:t>pulência do Brasil, de Antonil (1649-1716)</w:t>
      </w:r>
      <w:r>
        <w:t xml:space="preserve"> (FAORO, 1987)</w:t>
      </w:r>
      <w:r w:rsidR="0032241E">
        <w:t>.</w:t>
      </w:r>
    </w:p>
    <w:p w:rsidR="0056296D" w:rsidRDefault="00201462">
      <w:r>
        <w:t>No cenário de decadência econômica e intelectual do Reino, advindo da crise mercantilista e conflitante com toda a filosofia liberal de construção do Estado como centro, sustentado pela burguesia comercial, surgem as reformas do Marquês de Pombal. Tais reformas r</w:t>
      </w:r>
      <w:r w:rsidR="00F179D1">
        <w:t>enovam o Estado, “com a restauração da autoridade pública, fraca, corrupta e atrasada. O centro das mudanças se projetará na economia, com agências e companhias de fomento</w:t>
      </w:r>
      <w:r w:rsidR="0056296D">
        <w:t>. Neste ponto, ao disputar a predominância inglesa, ao cuidar de incentivar a agricultura, a indústria e o comércio, reforçava o sistema colonial, com o enrijecimento do comando da</w:t>
      </w:r>
      <w:r>
        <w:t xml:space="preserve"> metrópole” (FAORO, 1987).</w:t>
      </w:r>
      <w:r w:rsidR="00920650">
        <w:t xml:space="preserve"> Com a expulsão dos jesuítas, em 1759, já não existem mais impedimentos culturais </w:t>
      </w:r>
      <w:r w:rsidR="007F532A">
        <w:t>—</w:t>
      </w:r>
      <w:r w:rsidR="00920650">
        <w:t xml:space="preserve"> impedimentos estes que eram reforçados pelas lutas entre os jesuítas e os colonizadores </w:t>
      </w:r>
      <w:r w:rsidR="007F532A">
        <w:t>—</w:t>
      </w:r>
      <w:r w:rsidR="00920650">
        <w:t>, dada a renovação do ensino e do modelo universitário.</w:t>
      </w:r>
      <w:r w:rsidR="00542198">
        <w:t xml:space="preserve"> Aqui, o</w:t>
      </w:r>
      <w:r w:rsidR="0056296D">
        <w:t xml:space="preserve"> absolutismo</w:t>
      </w:r>
      <w:r w:rsidR="00956539">
        <w:t xml:space="preserve"> adquire uma forma diferente do</w:t>
      </w:r>
      <w:r w:rsidR="0056296D">
        <w:t xml:space="preserve"> francês e do Iluminismo europeu, pois mantinha a aristocracia sem substituí-la pela </w:t>
      </w:r>
      <w:r w:rsidR="0056296D">
        <w:lastRenderedPageBreak/>
        <w:t>burguesia comercial, tirando apenas o seu controle político (FAORO. 1987).</w:t>
      </w:r>
      <w:r w:rsidR="006826BB">
        <w:t xml:space="preserve"> </w:t>
      </w:r>
      <w:r w:rsidR="00DD0951">
        <w:t>Tais medidas só</w:t>
      </w:r>
      <w:r w:rsidR="006826BB">
        <w:t xml:space="preserve"> têm efeitos nos setores privilegiados, como a nobreza, o clero ou o ensino superior (cria-se o Colégio dos Nobres, em 1761).</w:t>
      </w:r>
    </w:p>
    <w:p w:rsidR="0024258F" w:rsidRDefault="0024258F">
      <w:r>
        <w:t xml:space="preserve">Com a queda de Pombal, após o desaparecimento de D. José I (1777), as reformas que apenas afetavam a elite e não possuíam nenhuma base na hegemonia de uma nova classe, resultam em uma volta ao passado do Reino tradicional (FAORO, 1987). Como reação ao </w:t>
      </w:r>
      <w:proofErr w:type="spellStart"/>
      <w:r>
        <w:t>pombalismo</w:t>
      </w:r>
      <w:proofErr w:type="spellEnd"/>
      <w:r>
        <w:t>, as ideias de Adam Smith penetram Portugal do fim do século XVIII, abrindo caminho para uma renovação nacional liberalista.</w:t>
      </w:r>
    </w:p>
    <w:p w:rsidR="0024258F" w:rsidRDefault="0024258F">
      <w:r>
        <w:t xml:space="preserve">As expressões escritas após esse período, principalmente após a Revolução Portuguesa de 1820, expressam uma integração com o movimento liberal, destacam-se: “o </w:t>
      </w:r>
      <w:proofErr w:type="spellStart"/>
      <w:r>
        <w:t>Uraguai</w:t>
      </w:r>
      <w:proofErr w:type="spellEnd"/>
      <w:r>
        <w:t xml:space="preserve"> (1769), de Basílio da Gama, de feição </w:t>
      </w:r>
      <w:proofErr w:type="spellStart"/>
      <w:r>
        <w:t>antijesuíta</w:t>
      </w:r>
      <w:proofErr w:type="spellEnd"/>
      <w:r>
        <w:t>, O Desertor</w:t>
      </w:r>
      <w:r w:rsidR="00C050F4">
        <w:t xml:space="preserve"> </w:t>
      </w:r>
      <w:r>
        <w:t xml:space="preserve">(1771), de Silva Alvarenga, com o destaque posto na reforma intelectual e O Reino da Estupidez (1785), de combate à </w:t>
      </w:r>
      <w:proofErr w:type="spellStart"/>
      <w:r>
        <w:t>Viradeira</w:t>
      </w:r>
      <w:proofErr w:type="spellEnd"/>
      <w:r>
        <w:t xml:space="preserve">, de D. Maria I (m. 1816; regência de D. João, depois o VI, em </w:t>
      </w:r>
      <w:r w:rsidR="00C050F4">
        <w:t>1799) ”</w:t>
      </w:r>
      <w:r>
        <w:t xml:space="preserve"> (FAORO, 1987).</w:t>
      </w:r>
    </w:p>
    <w:p w:rsidR="004251B2" w:rsidRDefault="004251B2" w:rsidP="004251B2">
      <w:r>
        <w:t>O grande ponto de mudança se dá na Independência, que consagra a ideologia liberal à</w:t>
      </w:r>
      <w:r w:rsidR="0030723B">
        <w:t xml:space="preserve"> </w:t>
      </w:r>
      <w:proofErr w:type="spellStart"/>
      <w:r w:rsidR="0030723B">
        <w:t>la</w:t>
      </w:r>
      <w:proofErr w:type="spellEnd"/>
      <w:r>
        <w:t xml:space="preserve"> brasileira:</w:t>
      </w:r>
    </w:p>
    <w:p w:rsidR="004251B2" w:rsidRDefault="004251B2" w:rsidP="0030723B">
      <w:pPr>
        <w:ind w:left="708"/>
      </w:pPr>
      <w:r w:rsidRPr="004251B2">
        <w:rPr>
          <w:sz w:val="20"/>
        </w:rPr>
        <w:t>“</w:t>
      </w:r>
      <w:r w:rsidRPr="004251B2">
        <w:rPr>
          <w:sz w:val="20"/>
        </w:rPr>
        <w:t>A independência, tal como se operou, teve aliás o caráter de uma transação entre o elemento nacional mais avançado, que preferiria substituir a velha supremacia portuguesa por um regime republicano segundo o adotado nas outras colônias americanas, por esse tempo emancipadas, e o elemento reacionário, que era o lusitano, contrário a um desfecho equivalente, no seu entender, a uma felonia da primitiva possessão e a um desastre financeiro e econômico da outrora metrópole. A referida transação estabeleceu-se sobre a base da permanência da dinastia de Bragança, personificada no seu rebento capital, à frente de um império constitucional e democrático, cujo soberano se dizia proclamado 'pela graça de Deus e pela unânime aclamação dos povos' a um tempo ungido do Senhor e escolhido pela vontade popular." (OLIVEIRA LIMA, 1947, p. 11.)</w:t>
      </w:r>
      <w:bookmarkStart w:id="0" w:name="_GoBack"/>
      <w:bookmarkEnd w:id="0"/>
    </w:p>
    <w:p w:rsidR="004251B2" w:rsidRDefault="004251B2"/>
    <w:p w:rsidR="00E82CB9" w:rsidRDefault="00B35BB7">
      <w:r>
        <w:t>REFERÊNCIAS</w:t>
      </w:r>
    </w:p>
    <w:p w:rsidR="008B3433" w:rsidRDefault="008B3433" w:rsidP="008B3433">
      <w:r>
        <w:t xml:space="preserve">FAORO, Raymundo. </w:t>
      </w:r>
      <w:r>
        <w:rPr>
          <w:b/>
        </w:rPr>
        <w:t>Existe um pensamento político brasileiro?</w:t>
      </w:r>
      <w:r>
        <w:t xml:space="preserve"> Estudos Avançados, v. 1, n. 1, p. 9-58, dez. 1987.</w:t>
      </w:r>
    </w:p>
    <w:p w:rsidR="00D323CE" w:rsidRPr="002305B3" w:rsidRDefault="00D323CE" w:rsidP="008B3433">
      <w:r>
        <w:t xml:space="preserve">SKINNER, Q. </w:t>
      </w:r>
      <w:r>
        <w:rPr>
          <w:b/>
        </w:rPr>
        <w:t xml:space="preserve">The </w:t>
      </w:r>
      <w:proofErr w:type="spellStart"/>
      <w:r>
        <w:rPr>
          <w:b/>
        </w:rPr>
        <w:t>foundations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political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thought</w:t>
      </w:r>
      <w:proofErr w:type="spellEnd"/>
      <w:r>
        <w:rPr>
          <w:b/>
        </w:rPr>
        <w:t>.</w:t>
      </w:r>
      <w:r>
        <w:t xml:space="preserve"> Cambridge: Ca</w:t>
      </w:r>
      <w:r w:rsidR="002305B3">
        <w:t xml:space="preserve">mbridge </w:t>
      </w:r>
      <w:proofErr w:type="spellStart"/>
      <w:r w:rsidR="002305B3">
        <w:t>University</w:t>
      </w:r>
      <w:proofErr w:type="spellEnd"/>
      <w:r w:rsidR="002305B3">
        <w:t xml:space="preserve"> Press, 1979.</w:t>
      </w:r>
    </w:p>
    <w:p w:rsidR="00786A4F" w:rsidRPr="008B3433" w:rsidRDefault="00786A4F" w:rsidP="008B3433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sectPr w:rsidR="00786A4F" w:rsidRPr="008B3433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147" w:rsidRDefault="00464147" w:rsidP="007418F5">
      <w:pPr>
        <w:spacing w:after="0" w:line="240" w:lineRule="auto"/>
      </w:pPr>
      <w:r>
        <w:separator/>
      </w:r>
    </w:p>
  </w:endnote>
  <w:endnote w:type="continuationSeparator" w:id="0">
    <w:p w:rsidR="00464147" w:rsidRDefault="00464147" w:rsidP="0074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147" w:rsidRDefault="00464147" w:rsidP="007418F5">
      <w:pPr>
        <w:spacing w:after="0" w:line="240" w:lineRule="auto"/>
      </w:pPr>
      <w:r>
        <w:separator/>
      </w:r>
    </w:p>
  </w:footnote>
  <w:footnote w:type="continuationSeparator" w:id="0">
    <w:p w:rsidR="00464147" w:rsidRDefault="00464147" w:rsidP="007418F5">
      <w:pPr>
        <w:spacing w:after="0" w:line="240" w:lineRule="auto"/>
      </w:pPr>
      <w:r>
        <w:continuationSeparator/>
      </w:r>
    </w:p>
  </w:footnote>
  <w:footnote w:id="1">
    <w:p w:rsidR="007418F5" w:rsidRDefault="007418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418F5">
        <w:t xml:space="preserve">MESNARD, P. </w:t>
      </w:r>
      <w:proofErr w:type="spellStart"/>
      <w:r w:rsidRPr="007418F5">
        <w:t>L’essor</w:t>
      </w:r>
      <w:proofErr w:type="spellEnd"/>
      <w:r w:rsidRPr="007418F5">
        <w:t xml:space="preserve"> de </w:t>
      </w:r>
      <w:proofErr w:type="spellStart"/>
      <w:r w:rsidRPr="007418F5">
        <w:t>la</w:t>
      </w:r>
      <w:proofErr w:type="spellEnd"/>
      <w:r w:rsidRPr="007418F5">
        <w:t xml:space="preserve"> </w:t>
      </w:r>
      <w:proofErr w:type="spellStart"/>
      <w:r w:rsidRPr="007418F5">
        <w:t>philosophie</w:t>
      </w:r>
      <w:proofErr w:type="spellEnd"/>
      <w:r w:rsidRPr="007418F5">
        <w:t xml:space="preserve"> politique </w:t>
      </w:r>
      <w:proofErr w:type="spellStart"/>
      <w:r w:rsidRPr="007418F5">
        <w:t>au</w:t>
      </w:r>
      <w:proofErr w:type="spellEnd"/>
      <w:r w:rsidRPr="007418F5">
        <w:t xml:space="preserve"> XVI </w:t>
      </w:r>
      <w:proofErr w:type="spellStart"/>
      <w:r w:rsidRPr="007418F5">
        <w:t>siécle</w:t>
      </w:r>
      <w:proofErr w:type="spellEnd"/>
      <w:r w:rsidRPr="007418F5">
        <w:t xml:space="preserve">. Paris: Liv. K. </w:t>
      </w:r>
      <w:proofErr w:type="spellStart"/>
      <w:r w:rsidRPr="007418F5">
        <w:t>Vrin</w:t>
      </w:r>
      <w:proofErr w:type="spellEnd"/>
      <w:r w:rsidRPr="007418F5">
        <w:t>, 1977.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B7"/>
    <w:rsid w:val="00136662"/>
    <w:rsid w:val="00201462"/>
    <w:rsid w:val="002023E9"/>
    <w:rsid w:val="002305B3"/>
    <w:rsid w:val="0024258F"/>
    <w:rsid w:val="00295AD1"/>
    <w:rsid w:val="002D475F"/>
    <w:rsid w:val="0030723B"/>
    <w:rsid w:val="0032241E"/>
    <w:rsid w:val="004251B2"/>
    <w:rsid w:val="00441C5E"/>
    <w:rsid w:val="00455EEE"/>
    <w:rsid w:val="00464147"/>
    <w:rsid w:val="004B268C"/>
    <w:rsid w:val="004E6711"/>
    <w:rsid w:val="005414F6"/>
    <w:rsid w:val="00542198"/>
    <w:rsid w:val="0056296D"/>
    <w:rsid w:val="006826BB"/>
    <w:rsid w:val="00732245"/>
    <w:rsid w:val="007418F5"/>
    <w:rsid w:val="00786A4F"/>
    <w:rsid w:val="00792A2F"/>
    <w:rsid w:val="007C3EF9"/>
    <w:rsid w:val="007E2AFA"/>
    <w:rsid w:val="007F532A"/>
    <w:rsid w:val="00806DCA"/>
    <w:rsid w:val="00831F3E"/>
    <w:rsid w:val="00872828"/>
    <w:rsid w:val="008B3433"/>
    <w:rsid w:val="008D612A"/>
    <w:rsid w:val="00920650"/>
    <w:rsid w:val="00956539"/>
    <w:rsid w:val="0097592B"/>
    <w:rsid w:val="009D1174"/>
    <w:rsid w:val="00A649FA"/>
    <w:rsid w:val="00A97DAB"/>
    <w:rsid w:val="00B02444"/>
    <w:rsid w:val="00B04D7D"/>
    <w:rsid w:val="00B35BB7"/>
    <w:rsid w:val="00C050F4"/>
    <w:rsid w:val="00C441E9"/>
    <w:rsid w:val="00D323CE"/>
    <w:rsid w:val="00D524F2"/>
    <w:rsid w:val="00DD0951"/>
    <w:rsid w:val="00E82CB9"/>
    <w:rsid w:val="00F1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EA9A"/>
  <w15:chartTrackingRefBased/>
  <w15:docId w15:val="{6C1BBD0E-257C-4DE0-B401-C863E120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9F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18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18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18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52B4CC48-B81D-4673-A05C-F6E660FC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42</cp:revision>
  <dcterms:created xsi:type="dcterms:W3CDTF">2023-09-30T20:29:00Z</dcterms:created>
  <dcterms:modified xsi:type="dcterms:W3CDTF">2023-10-01T20:42:00Z</dcterms:modified>
</cp:coreProperties>
</file>