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9D9" w:rsidRPr="00887AF0" w:rsidRDefault="006419D9" w:rsidP="006419D9">
      <w:pPr>
        <w:jc w:val="center"/>
        <w:rPr>
          <w:b/>
          <w:szCs w:val="24"/>
        </w:rPr>
      </w:pPr>
      <w:r w:rsidRPr="00887AF0">
        <w:rPr>
          <w:b/>
          <w:szCs w:val="24"/>
        </w:rPr>
        <w:t>UNIVERSIDADE DE TAUBATÉ</w:t>
      </w:r>
    </w:p>
    <w:p w:rsidR="006419D9" w:rsidRPr="00887AF0" w:rsidRDefault="006419D9" w:rsidP="006419D9">
      <w:pPr>
        <w:jc w:val="center"/>
        <w:rPr>
          <w:b/>
          <w:szCs w:val="24"/>
        </w:rPr>
      </w:pPr>
      <w:r w:rsidRPr="00887AF0">
        <w:rPr>
          <w:b/>
          <w:szCs w:val="24"/>
        </w:rPr>
        <w:t>DIREITO</w:t>
      </w:r>
    </w:p>
    <w:p w:rsidR="006419D9" w:rsidRPr="00887AF0" w:rsidRDefault="006419D9" w:rsidP="006419D9">
      <w:pPr>
        <w:jc w:val="center"/>
        <w:rPr>
          <w:szCs w:val="24"/>
        </w:rPr>
      </w:pPr>
      <w:r w:rsidRPr="00887AF0">
        <w:rPr>
          <w:szCs w:val="24"/>
        </w:rPr>
        <w:t>Tobias da Silva Lino</w:t>
      </w: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b/>
          <w:szCs w:val="24"/>
        </w:rPr>
      </w:pPr>
      <w:r w:rsidRPr="00887AF0">
        <w:rPr>
          <w:b/>
          <w:szCs w:val="24"/>
        </w:rPr>
        <w:t>O STF e o Estado de Coisas Inconstitucional do sistema prisional brasileiro</w:t>
      </w: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</w:p>
    <w:p w:rsidR="006419D9" w:rsidRPr="00887AF0" w:rsidRDefault="006419D9" w:rsidP="006419D9">
      <w:pPr>
        <w:jc w:val="center"/>
        <w:rPr>
          <w:szCs w:val="24"/>
        </w:rPr>
      </w:pPr>
      <w:r w:rsidRPr="00887AF0">
        <w:rPr>
          <w:szCs w:val="24"/>
        </w:rPr>
        <w:t>TAUBATÉ</w:t>
      </w:r>
    </w:p>
    <w:p w:rsidR="006419D9" w:rsidRPr="00887AF0" w:rsidRDefault="00C6729C" w:rsidP="006419D9">
      <w:pPr>
        <w:jc w:val="center"/>
        <w:rPr>
          <w:szCs w:val="24"/>
        </w:rPr>
      </w:pPr>
      <w:r w:rsidRPr="00887AF0">
        <w:rPr>
          <w:szCs w:val="24"/>
        </w:rPr>
        <w:t>2</w:t>
      </w:r>
      <w:r w:rsidR="006419D9" w:rsidRPr="00887AF0">
        <w:rPr>
          <w:szCs w:val="24"/>
        </w:rPr>
        <w:t>023</w:t>
      </w:r>
    </w:p>
    <w:sdt>
      <w:sdtPr>
        <w:rPr>
          <w:rFonts w:ascii="Times New Roman" w:hAnsi="Times New Roman" w:cs="Times New Roman"/>
          <w:color w:val="auto"/>
          <w:sz w:val="24"/>
          <w:szCs w:val="24"/>
        </w:rPr>
        <w:id w:val="40380925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lang w:eastAsia="en-US"/>
        </w:rPr>
      </w:sdtEndPr>
      <w:sdtContent>
        <w:p w:rsidR="00C6729C" w:rsidRPr="00887AF0" w:rsidRDefault="00C6729C">
          <w:pPr>
            <w:pStyle w:val="CabealhodoSumrio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 w:rsidRPr="00887AF0">
            <w:rPr>
              <w:rFonts w:ascii="Times New Roman" w:hAnsi="Times New Roman" w:cs="Times New Roman"/>
              <w:color w:val="auto"/>
              <w:sz w:val="24"/>
              <w:szCs w:val="24"/>
            </w:rPr>
            <w:t>S</w:t>
          </w:r>
          <w:r w:rsidR="00604E27" w:rsidRPr="00887AF0">
            <w:rPr>
              <w:rFonts w:ascii="Times New Roman" w:hAnsi="Times New Roman" w:cs="Times New Roman"/>
              <w:color w:val="auto"/>
              <w:sz w:val="24"/>
              <w:szCs w:val="24"/>
            </w:rPr>
            <w:t>UMÁRIO</w:t>
          </w:r>
        </w:p>
        <w:p w:rsidR="00604E27" w:rsidRPr="00887AF0" w:rsidRDefault="00604E27" w:rsidP="00604E27">
          <w:pPr>
            <w:rPr>
              <w:szCs w:val="24"/>
              <w:lang w:eastAsia="pt-BR"/>
            </w:rPr>
          </w:pPr>
        </w:p>
        <w:p w:rsidR="00BB3EBB" w:rsidRDefault="00C6729C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r w:rsidRPr="00887AF0">
            <w:rPr>
              <w:szCs w:val="24"/>
            </w:rPr>
            <w:fldChar w:fldCharType="begin"/>
          </w:r>
          <w:r w:rsidRPr="00887AF0">
            <w:rPr>
              <w:szCs w:val="24"/>
            </w:rPr>
            <w:instrText xml:space="preserve"> TOC \o "1-3" \h \z \u </w:instrText>
          </w:r>
          <w:r w:rsidRPr="00887AF0">
            <w:rPr>
              <w:szCs w:val="24"/>
            </w:rPr>
            <w:fldChar w:fldCharType="separate"/>
          </w:r>
          <w:hyperlink w:anchor="_Toc147947573" w:history="1">
            <w:r w:rsidR="00BB3EBB" w:rsidRPr="008B6141">
              <w:rPr>
                <w:rStyle w:val="Hyperlink"/>
                <w:b/>
                <w:noProof/>
              </w:rPr>
              <w:t>INTRODUÇÃO</w:t>
            </w:r>
            <w:r w:rsidR="00BB3EBB">
              <w:rPr>
                <w:noProof/>
                <w:webHidden/>
              </w:rPr>
              <w:tab/>
            </w:r>
            <w:r w:rsidR="00BB3EBB">
              <w:rPr>
                <w:noProof/>
                <w:webHidden/>
              </w:rPr>
              <w:fldChar w:fldCharType="begin"/>
            </w:r>
            <w:r w:rsidR="00BB3EBB">
              <w:rPr>
                <w:noProof/>
                <w:webHidden/>
              </w:rPr>
              <w:instrText xml:space="preserve"> PAGEREF _Toc147947573 \h </w:instrText>
            </w:r>
            <w:r w:rsidR="00BB3EBB">
              <w:rPr>
                <w:noProof/>
                <w:webHidden/>
              </w:rPr>
            </w:r>
            <w:r w:rsidR="00BB3EBB"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2</w:t>
            </w:r>
            <w:r w:rsidR="00BB3EBB"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4" w:history="1">
            <w:r w:rsidRPr="008B6141">
              <w:rPr>
                <w:rStyle w:val="Hyperlink"/>
                <w:b/>
                <w:noProof/>
              </w:rPr>
              <w:t>O SUPREMO TRIBUNAL FEDERAL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5" w:history="1">
            <w:r w:rsidRPr="008B6141">
              <w:rPr>
                <w:rStyle w:val="Hyperlink"/>
                <w:noProof/>
              </w:rPr>
              <w:t>CONTROLE DE CONSTITUCIONALIDADE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6" w:history="1">
            <w:r w:rsidRPr="008B6141">
              <w:rPr>
                <w:rStyle w:val="Hyperlink"/>
                <w:b/>
                <w:noProof/>
              </w:rPr>
              <w:t>O ESTADO DE COISAS INCONSTITUCIONAL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7" w:history="1">
            <w:r w:rsidRPr="008B6141">
              <w:rPr>
                <w:rStyle w:val="Hyperlink"/>
                <w:noProof/>
              </w:rPr>
              <w:t>CONTROVÉRSIAS ACERCA DOS PODERES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8" w:history="1">
            <w:r w:rsidRPr="008B6141">
              <w:rPr>
                <w:rStyle w:val="Hyperlink"/>
                <w:b/>
                <w:noProof/>
              </w:rPr>
              <w:t>O QUE ACONTECEU COM O SISTEMA PENITENCIÁRIO BRASILEIRO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79" w:history="1">
            <w:r w:rsidRPr="008B6141">
              <w:rPr>
                <w:rStyle w:val="Hyperlink"/>
                <w:noProof/>
              </w:rPr>
              <w:t>SUPERLOTAÇÃO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80" w:history="1">
            <w:r w:rsidRPr="008B6141">
              <w:rPr>
                <w:rStyle w:val="Hyperlink"/>
                <w:noProof/>
              </w:rPr>
              <w:t>VIOLAÇÃO DOS DIREITOS DOS PRESOS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81" w:history="1">
            <w:r w:rsidRPr="008B6141">
              <w:rPr>
                <w:rStyle w:val="Hyperlink"/>
                <w:noProof/>
              </w:rPr>
              <w:t>USO ABUSIVO DA PRISÃO PROVISÓRIA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82" w:history="1">
            <w:r w:rsidRPr="008B6141">
              <w:rPr>
                <w:rStyle w:val="Hyperlink"/>
                <w:b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3EBB" w:rsidRDefault="00BB3EBB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sz w:val="22"/>
              <w:lang w:eastAsia="pt-BR"/>
            </w:rPr>
          </w:pPr>
          <w:hyperlink w:anchor="_Toc147947583" w:history="1">
            <w:r w:rsidRPr="008B614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_Toc147947583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243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729C" w:rsidRPr="00887AF0" w:rsidRDefault="00C6729C">
          <w:pPr>
            <w:rPr>
              <w:szCs w:val="24"/>
            </w:rPr>
          </w:pPr>
          <w:r w:rsidRPr="00887AF0">
            <w:rPr>
              <w:b/>
              <w:bCs/>
              <w:szCs w:val="24"/>
            </w:rPr>
            <w:fldChar w:fldCharType="end"/>
          </w:r>
        </w:p>
      </w:sdtContent>
    </w:sdt>
    <w:p w:rsidR="00C6729C" w:rsidRPr="00887AF0" w:rsidRDefault="00C6729C" w:rsidP="00C6729C">
      <w:pPr>
        <w:jc w:val="left"/>
        <w:rPr>
          <w:szCs w:val="24"/>
        </w:rPr>
      </w:pPr>
    </w:p>
    <w:p w:rsidR="00C13D06" w:rsidRPr="00887AF0" w:rsidRDefault="00C6729C">
      <w:pPr>
        <w:rPr>
          <w:szCs w:val="24"/>
        </w:rPr>
        <w:sectPr w:rsidR="00C13D06" w:rsidRPr="00887AF0" w:rsidSect="00C13D06">
          <w:headerReference w:type="default" r:id="rId8"/>
          <w:pgSz w:w="11906" w:h="16838"/>
          <w:pgMar w:top="1701" w:right="1134" w:bottom="1134" w:left="1701" w:header="709" w:footer="709" w:gutter="0"/>
          <w:pgNumType w:start="2"/>
          <w:cols w:space="708"/>
          <w:docGrid w:linePitch="360"/>
        </w:sectPr>
      </w:pPr>
      <w:r w:rsidRPr="00887AF0">
        <w:rPr>
          <w:szCs w:val="24"/>
        </w:rPr>
        <w:br w:type="page"/>
      </w:r>
      <w:bookmarkStart w:id="0" w:name="_GoBack"/>
      <w:bookmarkEnd w:id="0"/>
    </w:p>
    <w:p w:rsidR="00FE7F9A" w:rsidRPr="00887AF0" w:rsidRDefault="00787F66" w:rsidP="00FE7F9A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Toc147947573"/>
      <w:r w:rsidRPr="00887AF0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INTRODUÇÃO</w:t>
      </w:r>
      <w:bookmarkEnd w:id="1"/>
    </w:p>
    <w:p w:rsidR="008A094E" w:rsidRPr="005C35D0" w:rsidRDefault="00CE5679" w:rsidP="008A094E">
      <w:pPr>
        <w:rPr>
          <w:szCs w:val="24"/>
        </w:rPr>
      </w:pPr>
      <w:r>
        <w:rPr>
          <w:szCs w:val="24"/>
        </w:rPr>
        <w:t>A situação dos presídios brasileiros, marcado pela ampla, contínua e sistemática violação dos direitos dos presos, principalmente pela omissão do Poder Público, caracteriza o chamado Estado de Coisas Inconstitucional. Neste artigo, buscamos analisar a atuação do Supremo Tribunal Federal, na forma de ativismo judicial, como forma de controle de constitucionalidade legítimo. Abordamos também o que é a técnica do Estado de Coisas Inconstitucional e como a realidade da vida dos presidiários se adequa aos pressupostos estruturais para reconhece-la. Demonstraremos que a situação dos presídios precisa ser superada de forma conjunta entre os três poderes da União, seus os órgãos e instituições e a sociedade civil, por meio de políticas públicas e diálogo institucional.</w:t>
      </w:r>
    </w:p>
    <w:p w:rsidR="008A094E" w:rsidRPr="00887AF0" w:rsidRDefault="008A094E" w:rsidP="008A094E">
      <w:pPr>
        <w:rPr>
          <w:szCs w:val="24"/>
        </w:rPr>
      </w:pPr>
    </w:p>
    <w:p w:rsidR="000404AA" w:rsidRPr="00887AF0" w:rsidRDefault="00787F66" w:rsidP="006A6BE6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147947574"/>
      <w:r w:rsidRPr="00887AF0">
        <w:rPr>
          <w:rFonts w:ascii="Times New Roman" w:hAnsi="Times New Roman" w:cs="Times New Roman"/>
          <w:b/>
          <w:color w:val="auto"/>
          <w:sz w:val="24"/>
          <w:szCs w:val="24"/>
        </w:rPr>
        <w:t>O SUPREMO TRIBUNAL FEDERAL</w:t>
      </w:r>
      <w:bookmarkEnd w:id="2"/>
    </w:p>
    <w:p w:rsidR="006D5BBF" w:rsidRPr="00887AF0" w:rsidRDefault="004B1C04" w:rsidP="006626AE">
      <w:pPr>
        <w:rPr>
          <w:szCs w:val="24"/>
        </w:rPr>
      </w:pPr>
      <w:r w:rsidRPr="00887AF0">
        <w:rPr>
          <w:szCs w:val="24"/>
        </w:rPr>
        <w:t>Conforme o art. 2º da Constituição da República Federativa do Brasil</w:t>
      </w:r>
      <w:r w:rsidR="00333597" w:rsidRPr="00887AF0">
        <w:rPr>
          <w:szCs w:val="24"/>
        </w:rPr>
        <w:t xml:space="preserve"> de 1988</w:t>
      </w:r>
      <w:r w:rsidRPr="00887AF0">
        <w:rPr>
          <w:szCs w:val="24"/>
        </w:rPr>
        <w:t>, “São poderes da União, independentes e harmônicos entre si, o Legislativo, o Executivo e o Judiciário” (BRASIL, 1988, art. 2º)</w:t>
      </w:r>
      <w:r w:rsidR="00A26EF3" w:rsidRPr="00887AF0">
        <w:rPr>
          <w:szCs w:val="24"/>
        </w:rPr>
        <w:t>, sendo o Supremo Tribunal Federal um dos órgãos do Poder Judiciário</w:t>
      </w:r>
      <w:r w:rsidR="001C0853" w:rsidRPr="00887AF0">
        <w:rPr>
          <w:szCs w:val="24"/>
        </w:rPr>
        <w:t xml:space="preserve"> (CF, art. 92, I) e cabendo a ele a competência</w:t>
      </w:r>
      <w:r w:rsidR="00684CF8" w:rsidRPr="00887AF0">
        <w:rPr>
          <w:szCs w:val="24"/>
        </w:rPr>
        <w:t xml:space="preserve"> principal</w:t>
      </w:r>
      <w:r w:rsidR="001C0853" w:rsidRPr="00887AF0">
        <w:rPr>
          <w:szCs w:val="24"/>
        </w:rPr>
        <w:t xml:space="preserve"> de guarda da Constituição Federal (CF, art. 102).</w:t>
      </w:r>
      <w:r w:rsidR="006D5BBF" w:rsidRPr="00887AF0">
        <w:rPr>
          <w:szCs w:val="24"/>
        </w:rPr>
        <w:t xml:space="preserve"> Portanto, o Supremo Tribunal Federal (STF) é o órgão responsável</w:t>
      </w:r>
      <w:r w:rsidR="0037145B" w:rsidRPr="00887AF0">
        <w:rPr>
          <w:szCs w:val="24"/>
        </w:rPr>
        <w:t xml:space="preserve"> por julgar, principalmente, as ações de âmbito constitucional, como a ação direta de inconstitucionalidade ou a ação declaratória de constitucionalidade de lei ou ato normativo federal ou estadual,</w:t>
      </w:r>
      <w:r w:rsidR="00EB731D" w:rsidRPr="00887AF0">
        <w:rPr>
          <w:szCs w:val="24"/>
        </w:rPr>
        <w:t xml:space="preserve"> bem como as arguições de descumprimento de preceito fundamental</w:t>
      </w:r>
      <w:r w:rsidR="009143D3" w:rsidRPr="00887AF0">
        <w:rPr>
          <w:szCs w:val="24"/>
        </w:rPr>
        <w:t xml:space="preserve"> (BRASIL, Institucional do STF, 2023)</w:t>
      </w:r>
      <w:r w:rsidR="00FB652D" w:rsidRPr="00887AF0">
        <w:rPr>
          <w:szCs w:val="24"/>
        </w:rPr>
        <w:t>.</w:t>
      </w:r>
      <w:r w:rsidR="0037145B" w:rsidRPr="00887AF0">
        <w:rPr>
          <w:szCs w:val="24"/>
        </w:rPr>
        <w:t xml:space="preserve"> </w:t>
      </w:r>
    </w:p>
    <w:p w:rsidR="00771C50" w:rsidRPr="00887AF0" w:rsidRDefault="005E0CC7" w:rsidP="000404AA">
      <w:pPr>
        <w:rPr>
          <w:szCs w:val="24"/>
        </w:rPr>
      </w:pPr>
      <w:r w:rsidRPr="00887AF0">
        <w:rPr>
          <w:szCs w:val="24"/>
        </w:rPr>
        <w:t xml:space="preserve">Com a divisão constitucional dos três poderes, expressa no art. 2º da Constituição Federal, </w:t>
      </w:r>
      <w:r w:rsidR="006626AE" w:rsidRPr="00887AF0">
        <w:rPr>
          <w:szCs w:val="24"/>
        </w:rPr>
        <w:t>é preciso evidenciar</w:t>
      </w:r>
      <w:r w:rsidRPr="00887AF0">
        <w:rPr>
          <w:szCs w:val="24"/>
        </w:rPr>
        <w:t xml:space="preserve"> as formas de controle de cada poder com rela</w:t>
      </w:r>
      <w:r w:rsidR="006626AE" w:rsidRPr="00887AF0">
        <w:rPr>
          <w:szCs w:val="24"/>
        </w:rPr>
        <w:t>ção ao outro.</w:t>
      </w:r>
      <w:r w:rsidR="00771C50" w:rsidRPr="00887AF0">
        <w:rPr>
          <w:szCs w:val="24"/>
        </w:rPr>
        <w:t xml:space="preserve"> Nesse sentido</w:t>
      </w:r>
      <w:r w:rsidR="00A26EF3" w:rsidRPr="00887AF0">
        <w:rPr>
          <w:szCs w:val="24"/>
        </w:rPr>
        <w:t>,</w:t>
      </w:r>
      <w:r w:rsidR="00771C50" w:rsidRPr="00887AF0">
        <w:rPr>
          <w:szCs w:val="24"/>
        </w:rPr>
        <w:t xml:space="preserve"> </w:t>
      </w:r>
      <w:r w:rsidRPr="00887AF0">
        <w:rPr>
          <w:szCs w:val="24"/>
        </w:rPr>
        <w:t>Moraes (2021)</w:t>
      </w:r>
      <w:r w:rsidR="006626AE" w:rsidRPr="00887AF0">
        <w:rPr>
          <w:szCs w:val="24"/>
        </w:rPr>
        <w:t xml:space="preserve"> aponta algumas hipóteses de controle</w:t>
      </w:r>
      <w:r w:rsidR="000E34D8" w:rsidRPr="00887AF0">
        <w:rPr>
          <w:szCs w:val="24"/>
        </w:rPr>
        <w:t xml:space="preserve"> </w:t>
      </w:r>
      <w:r w:rsidR="00A26EF3" w:rsidRPr="00887AF0">
        <w:rPr>
          <w:szCs w:val="24"/>
        </w:rPr>
        <w:t>do Poder Judiciário</w:t>
      </w:r>
      <w:r w:rsidR="00771C50" w:rsidRPr="00887AF0">
        <w:rPr>
          <w:szCs w:val="24"/>
        </w:rPr>
        <w:t xml:space="preserve"> em relação aos poderes Executivo </w:t>
      </w:r>
      <w:r w:rsidR="000E34D8" w:rsidRPr="00887AF0">
        <w:rPr>
          <w:szCs w:val="24"/>
        </w:rPr>
        <w:t>e Legislativo:</w:t>
      </w:r>
    </w:p>
    <w:p w:rsidR="005E0CC7" w:rsidRPr="00887AF0" w:rsidRDefault="00B8609D" w:rsidP="000404AA">
      <w:pPr>
        <w:rPr>
          <w:szCs w:val="24"/>
        </w:rPr>
      </w:pPr>
      <w:r w:rsidRPr="00887AF0">
        <w:rPr>
          <w:szCs w:val="24"/>
        </w:rPr>
        <w:t>Quanto às h</w:t>
      </w:r>
      <w:r w:rsidR="00771C50" w:rsidRPr="00887AF0">
        <w:rPr>
          <w:szCs w:val="24"/>
        </w:rPr>
        <w:t xml:space="preserve">ipóteses de controle </w:t>
      </w:r>
      <w:r w:rsidR="006626AE" w:rsidRPr="00887AF0">
        <w:rPr>
          <w:szCs w:val="24"/>
        </w:rPr>
        <w:t xml:space="preserve">do Judiciário </w:t>
      </w:r>
      <w:r w:rsidR="00771C50" w:rsidRPr="00887AF0">
        <w:rPr>
          <w:szCs w:val="24"/>
        </w:rPr>
        <w:t>em relação ao Executivo</w:t>
      </w:r>
      <w:r w:rsidRPr="00887AF0">
        <w:rPr>
          <w:szCs w:val="24"/>
        </w:rPr>
        <w:t>:</w:t>
      </w:r>
    </w:p>
    <w:p w:rsidR="00B8609D" w:rsidRPr="00887AF0" w:rsidRDefault="00B8609D" w:rsidP="009134AC">
      <w:pPr>
        <w:ind w:left="708"/>
        <w:rPr>
          <w:szCs w:val="24"/>
        </w:rPr>
      </w:pPr>
      <w:r w:rsidRPr="00887AF0">
        <w:rPr>
          <w:szCs w:val="24"/>
        </w:rPr>
        <w:t xml:space="preserve">[...] possibilidade de não permitir-se que o Presidente da República conceda a extradição, em caso de ausência dos requisitos constitucionais e legais (CF, art. 5º, LI e LII); possibilidade de o Supremo Tribunal Federal declarar, em tese, a inconstitucionalidade de lei ou ato normativo estadual ou federal (CF, art. 102, I, a); exercício do controle difuso de constitucionalidade das leis ou atos normativos do Poder </w:t>
      </w:r>
      <w:r w:rsidRPr="00887AF0">
        <w:rPr>
          <w:szCs w:val="24"/>
        </w:rPr>
        <w:lastRenderedPageBreak/>
        <w:t>Público (CF, art. 97); compete ao Supremo Tribunal Federal o processo e julgamento do Presidente e Vice-presidente da República nas infrações penais comuns (CF, art. 102, I, b); efetivação do provimento dos cargos de suas secretarias, concedendo licença e férias aos seus funcionários (CF, art. 96, I, f)</w:t>
      </w:r>
      <w:r w:rsidR="009134AC" w:rsidRPr="00887AF0">
        <w:rPr>
          <w:szCs w:val="24"/>
        </w:rPr>
        <w:t xml:space="preserve"> (MORAES, 2021, p. 72)</w:t>
      </w:r>
      <w:r w:rsidRPr="00887AF0">
        <w:rPr>
          <w:szCs w:val="24"/>
        </w:rPr>
        <w:t>.</w:t>
      </w:r>
    </w:p>
    <w:p w:rsidR="00771C50" w:rsidRPr="00887AF0" w:rsidRDefault="00800953" w:rsidP="00771C50">
      <w:pPr>
        <w:rPr>
          <w:szCs w:val="24"/>
        </w:rPr>
      </w:pPr>
      <w:r w:rsidRPr="00887AF0">
        <w:rPr>
          <w:szCs w:val="24"/>
        </w:rPr>
        <w:t>Quanto às h</w:t>
      </w:r>
      <w:r w:rsidR="00771C50" w:rsidRPr="00887AF0">
        <w:rPr>
          <w:szCs w:val="24"/>
        </w:rPr>
        <w:t xml:space="preserve">ipóteses de controle do Judiciário em relação ao </w:t>
      </w:r>
      <w:r w:rsidR="00771C50" w:rsidRPr="00887AF0">
        <w:rPr>
          <w:szCs w:val="24"/>
        </w:rPr>
        <w:t>Legislativo</w:t>
      </w:r>
      <w:r w:rsidRPr="00887AF0">
        <w:rPr>
          <w:szCs w:val="24"/>
        </w:rPr>
        <w:t>:</w:t>
      </w:r>
    </w:p>
    <w:p w:rsidR="00FE3AAD" w:rsidRPr="00887AF0" w:rsidRDefault="00FE3AAD" w:rsidP="00800953">
      <w:pPr>
        <w:ind w:left="708"/>
        <w:rPr>
          <w:szCs w:val="24"/>
        </w:rPr>
      </w:pPr>
      <w:r w:rsidRPr="00887AF0">
        <w:rPr>
          <w:szCs w:val="24"/>
        </w:rPr>
        <w:t>[...] possibilidade de o Supremo Tribunal Federal declarar, em tese, a inconstitucionalidade de lei ou ato normativo estadual ou federal (CF, art. 102, I, a); exercício do controle difuso de constitucionalidade das leis ou atos normativos do Poder Público (CF, art. 97); compete ao Supremo Tribunal Federal processar e julgar os parlamen</w:t>
      </w:r>
      <w:r w:rsidR="00800953" w:rsidRPr="00887AF0">
        <w:rPr>
          <w:szCs w:val="24"/>
        </w:rPr>
        <w:t>tares nas infrações penais comun</w:t>
      </w:r>
      <w:r w:rsidRPr="00887AF0">
        <w:rPr>
          <w:szCs w:val="24"/>
        </w:rPr>
        <w:t>s (CF, art. 102, I, b); elaboração de seus próprios regulamentos e regimentos internos e organização de seus serviços (CF, art. 96) (</w:t>
      </w:r>
      <w:r w:rsidR="00922F78" w:rsidRPr="00887AF0">
        <w:rPr>
          <w:szCs w:val="24"/>
        </w:rPr>
        <w:t>MORAES, 2021, p. 71</w:t>
      </w:r>
      <w:r w:rsidRPr="00887AF0">
        <w:rPr>
          <w:szCs w:val="24"/>
        </w:rPr>
        <w:t>).</w:t>
      </w:r>
    </w:p>
    <w:p w:rsidR="00771C50" w:rsidRPr="00887AF0" w:rsidRDefault="005B5F52" w:rsidP="00771C50">
      <w:pPr>
        <w:rPr>
          <w:szCs w:val="24"/>
        </w:rPr>
      </w:pPr>
      <w:r w:rsidRPr="00887AF0">
        <w:rPr>
          <w:szCs w:val="24"/>
        </w:rPr>
        <w:t>Aqui, o Controle</w:t>
      </w:r>
      <w:r w:rsidR="00771C50" w:rsidRPr="00887AF0">
        <w:rPr>
          <w:szCs w:val="24"/>
        </w:rPr>
        <w:t xml:space="preserve"> de </w:t>
      </w:r>
      <w:r w:rsidRPr="00887AF0">
        <w:rPr>
          <w:szCs w:val="24"/>
        </w:rPr>
        <w:t>C</w:t>
      </w:r>
      <w:r w:rsidR="00771C50" w:rsidRPr="00887AF0">
        <w:rPr>
          <w:szCs w:val="24"/>
        </w:rPr>
        <w:t>onstitucionalidade</w:t>
      </w:r>
      <w:r w:rsidRPr="00887AF0">
        <w:rPr>
          <w:szCs w:val="24"/>
        </w:rPr>
        <w:t xml:space="preserve"> das leis ou atos normativos</w:t>
      </w:r>
      <w:r w:rsidR="00771C50" w:rsidRPr="00887AF0">
        <w:rPr>
          <w:szCs w:val="24"/>
        </w:rPr>
        <w:t xml:space="preserve"> merece destaque.</w:t>
      </w:r>
    </w:p>
    <w:p w:rsidR="000524ED" w:rsidRPr="00887AF0" w:rsidRDefault="000524ED" w:rsidP="00771C50">
      <w:pPr>
        <w:rPr>
          <w:szCs w:val="24"/>
        </w:rPr>
      </w:pPr>
    </w:p>
    <w:p w:rsidR="00F12145" w:rsidRPr="00F12145" w:rsidRDefault="00F12145" w:rsidP="00F1214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47947575"/>
      <w:r>
        <w:rPr>
          <w:rFonts w:ascii="Times New Roman" w:hAnsi="Times New Roman" w:cs="Times New Roman"/>
          <w:color w:val="auto"/>
          <w:sz w:val="24"/>
          <w:szCs w:val="24"/>
        </w:rPr>
        <w:t>CONTROLE DE CONSTITUCIONALIDADE</w:t>
      </w:r>
      <w:bookmarkEnd w:id="3"/>
    </w:p>
    <w:p w:rsidR="00BB3271" w:rsidRPr="00887AF0" w:rsidRDefault="00BB3271" w:rsidP="00D20829">
      <w:pPr>
        <w:rPr>
          <w:szCs w:val="24"/>
        </w:rPr>
      </w:pPr>
      <w:r w:rsidRPr="00887AF0">
        <w:rPr>
          <w:szCs w:val="24"/>
        </w:rPr>
        <w:t xml:space="preserve">Segundo </w:t>
      </w:r>
      <w:r w:rsidR="00BE26CE" w:rsidRPr="00887AF0">
        <w:rPr>
          <w:szCs w:val="24"/>
        </w:rPr>
        <w:t>Marques</w:t>
      </w:r>
      <w:r w:rsidRPr="00887AF0">
        <w:rPr>
          <w:szCs w:val="24"/>
        </w:rPr>
        <w:t xml:space="preserve"> (2010), o controle de constitucionalidade</w:t>
      </w:r>
      <w:r w:rsidR="00D20829" w:rsidRPr="00887AF0">
        <w:rPr>
          <w:szCs w:val="24"/>
        </w:rPr>
        <w:t xml:space="preserve"> </w:t>
      </w:r>
      <w:r w:rsidRPr="00887AF0">
        <w:rPr>
          <w:szCs w:val="24"/>
        </w:rPr>
        <w:t xml:space="preserve">pelo Poder Judiciário </w:t>
      </w:r>
      <w:r w:rsidR="00D20829" w:rsidRPr="00887AF0">
        <w:rPr>
          <w:szCs w:val="24"/>
        </w:rPr>
        <w:t>não era previsto expressamente</w:t>
      </w:r>
      <w:r w:rsidR="00D20829" w:rsidRPr="00887AF0">
        <w:rPr>
          <w:szCs w:val="24"/>
        </w:rPr>
        <w:t xml:space="preserve"> pela </w:t>
      </w:r>
      <w:r w:rsidR="00D20829" w:rsidRPr="00887AF0">
        <w:rPr>
          <w:szCs w:val="24"/>
        </w:rPr>
        <w:t xml:space="preserve">Constituição, mas </w:t>
      </w:r>
      <w:r w:rsidRPr="00887AF0">
        <w:rPr>
          <w:szCs w:val="24"/>
        </w:rPr>
        <w:t xml:space="preserve">surge </w:t>
      </w:r>
      <w:r w:rsidR="00D20829" w:rsidRPr="00887AF0">
        <w:rPr>
          <w:szCs w:val="24"/>
        </w:rPr>
        <w:t>em uma decisão d</w:t>
      </w:r>
      <w:r w:rsidRPr="00887AF0">
        <w:rPr>
          <w:szCs w:val="24"/>
        </w:rPr>
        <w:t>a Suprema Corte dos Estados Unidos em 1803, no caso William Marbury v. James Madison, no qual o juiz-chefe Marshall destaca a supremacia da Constituição diante dos poderes, apontando ser função do Judiciário interpretar se os atos dos demais poderes estão de acordo ou não com a Constituição e, caso não estejam, declará-los nulos</w:t>
      </w:r>
      <w:r w:rsidR="00820DF5" w:rsidRPr="00887AF0">
        <w:rPr>
          <w:szCs w:val="24"/>
        </w:rPr>
        <w:t>.</w:t>
      </w:r>
      <w:r w:rsidRPr="00887AF0">
        <w:rPr>
          <w:szCs w:val="24"/>
        </w:rPr>
        <w:t xml:space="preserve"> </w:t>
      </w:r>
      <w:r w:rsidR="00350872" w:rsidRPr="00887AF0">
        <w:rPr>
          <w:szCs w:val="24"/>
        </w:rPr>
        <w:t>Conforme Bittencourt</w:t>
      </w:r>
      <w:r w:rsidR="00820DF5" w:rsidRPr="00887AF0">
        <w:rPr>
          <w:szCs w:val="24"/>
        </w:rPr>
        <w:t xml:space="preserve"> </w:t>
      </w:r>
      <w:r w:rsidR="00377D9C" w:rsidRPr="00887AF0">
        <w:rPr>
          <w:szCs w:val="24"/>
        </w:rPr>
        <w:t>(</w:t>
      </w:r>
      <w:r w:rsidR="00D91DD5" w:rsidRPr="00887AF0">
        <w:rPr>
          <w:szCs w:val="24"/>
        </w:rPr>
        <w:t>1997</w:t>
      </w:r>
      <w:r w:rsidR="00377D9C" w:rsidRPr="00887AF0">
        <w:rPr>
          <w:szCs w:val="24"/>
        </w:rPr>
        <w:t>)</w:t>
      </w:r>
      <w:r w:rsidR="00350872" w:rsidRPr="00887AF0">
        <w:rPr>
          <w:szCs w:val="24"/>
        </w:rPr>
        <w:t>, Marshall</w:t>
      </w:r>
      <w:r w:rsidR="00377D9C" w:rsidRPr="00887AF0">
        <w:rPr>
          <w:szCs w:val="24"/>
        </w:rPr>
        <w:t xml:space="preserve"> </w:t>
      </w:r>
      <w:r w:rsidR="00820DF5" w:rsidRPr="00887AF0">
        <w:rPr>
          <w:szCs w:val="24"/>
        </w:rPr>
        <w:t xml:space="preserve">também declara que </w:t>
      </w:r>
      <w:r w:rsidRPr="00887AF0">
        <w:rPr>
          <w:szCs w:val="24"/>
        </w:rPr>
        <w:t xml:space="preserve">no conflito da lei </w:t>
      </w:r>
      <w:r w:rsidR="00743C92" w:rsidRPr="00887AF0">
        <w:rPr>
          <w:szCs w:val="24"/>
        </w:rPr>
        <w:t>em oposição à</w:t>
      </w:r>
      <w:r w:rsidRPr="00887AF0">
        <w:rPr>
          <w:szCs w:val="24"/>
        </w:rPr>
        <w:t xml:space="preserve"> Constituição, </w:t>
      </w:r>
      <w:r w:rsidR="007A6E38" w:rsidRPr="00887AF0">
        <w:rPr>
          <w:szCs w:val="24"/>
        </w:rPr>
        <w:t xml:space="preserve">faz parte </w:t>
      </w:r>
      <w:r w:rsidRPr="00887AF0">
        <w:rPr>
          <w:szCs w:val="24"/>
        </w:rPr>
        <w:t>da essência do dever judicial eleger o preceito que dominará o assunto.</w:t>
      </w:r>
    </w:p>
    <w:p w:rsidR="00750C8E" w:rsidRPr="00887AF0" w:rsidRDefault="004F1BCC" w:rsidP="00F56388">
      <w:pPr>
        <w:rPr>
          <w:szCs w:val="24"/>
        </w:rPr>
      </w:pPr>
      <w:r w:rsidRPr="00887AF0">
        <w:rPr>
          <w:szCs w:val="24"/>
        </w:rPr>
        <w:t>Já no Brasil, a Constituição da República Federativa do Brasil de 1988, inova adotando um modelo híbrido, combinando elementos do controle difuso e do controle concentrado, conforme Viveiros</w:t>
      </w:r>
      <w:r w:rsidR="003A3BB0" w:rsidRPr="00887AF0">
        <w:rPr>
          <w:rStyle w:val="Refdenotaderodap"/>
          <w:szCs w:val="24"/>
        </w:rPr>
        <w:footnoteReference w:id="1"/>
      </w:r>
      <w:r w:rsidRPr="00887AF0">
        <w:rPr>
          <w:szCs w:val="24"/>
        </w:rPr>
        <w:t xml:space="preserve"> (2012) (</w:t>
      </w:r>
      <w:r w:rsidRPr="00887AF0">
        <w:rPr>
          <w:i/>
          <w:szCs w:val="24"/>
        </w:rPr>
        <w:t>apud</w:t>
      </w:r>
      <w:r w:rsidRPr="00887AF0">
        <w:rPr>
          <w:szCs w:val="24"/>
        </w:rPr>
        <w:t xml:space="preserve"> MEDEIROS, 2013)</w:t>
      </w:r>
      <w:r w:rsidR="001907F4" w:rsidRPr="00887AF0">
        <w:rPr>
          <w:szCs w:val="24"/>
        </w:rPr>
        <w:t>. Segundo Medeiros (2013), nos últimos anos</w:t>
      </w:r>
      <w:r w:rsidR="008A094E" w:rsidRPr="00887AF0">
        <w:rPr>
          <w:szCs w:val="24"/>
        </w:rPr>
        <w:t>,</w:t>
      </w:r>
      <w:r w:rsidR="001907F4" w:rsidRPr="00887AF0">
        <w:rPr>
          <w:szCs w:val="24"/>
        </w:rPr>
        <w:t xml:space="preserve"> o Poder Judiciário t</w:t>
      </w:r>
      <w:r w:rsidR="008A094E" w:rsidRPr="00887AF0">
        <w:rPr>
          <w:szCs w:val="24"/>
        </w:rPr>
        <w:t>e</w:t>
      </w:r>
      <w:r w:rsidR="001907F4" w:rsidRPr="00887AF0">
        <w:rPr>
          <w:szCs w:val="24"/>
        </w:rPr>
        <w:t>m ganhado</w:t>
      </w:r>
      <w:r w:rsidR="001C1112" w:rsidRPr="00887AF0">
        <w:rPr>
          <w:szCs w:val="24"/>
        </w:rPr>
        <w:t xml:space="preserve"> grande protagonismo quanto à defesa de</w:t>
      </w:r>
      <w:r w:rsidR="001907F4" w:rsidRPr="00887AF0">
        <w:rPr>
          <w:szCs w:val="24"/>
        </w:rPr>
        <w:t xml:space="preserve"> minorias</w:t>
      </w:r>
      <w:r w:rsidR="001C1112" w:rsidRPr="00887AF0">
        <w:rPr>
          <w:szCs w:val="24"/>
        </w:rPr>
        <w:t xml:space="preserve">, </w:t>
      </w:r>
      <w:r w:rsidR="001907F4" w:rsidRPr="00887AF0">
        <w:rPr>
          <w:szCs w:val="24"/>
        </w:rPr>
        <w:t>manifestados por duas diferentes vertentes, a “judicialização da política” e o “ativismo judicial”.</w:t>
      </w:r>
    </w:p>
    <w:p w:rsidR="00750C8E" w:rsidRPr="00887AF0" w:rsidRDefault="00336A06" w:rsidP="00750C8E">
      <w:pPr>
        <w:rPr>
          <w:szCs w:val="24"/>
        </w:rPr>
      </w:pPr>
      <w:r w:rsidRPr="00887AF0">
        <w:rPr>
          <w:szCs w:val="24"/>
        </w:rPr>
        <w:lastRenderedPageBreak/>
        <w:t>A Constituição de 1988 consagra também o controle abstrato ao STF, julgando as Ações Diretas de Inconstitucionalidade, quando uma lei ou ato normativo federal ou estadual ofendem a Constituição Federal</w:t>
      </w:r>
      <w:r w:rsidR="00DA4404" w:rsidRPr="00887AF0">
        <w:rPr>
          <w:szCs w:val="24"/>
        </w:rPr>
        <w:t>, sendo</w:t>
      </w:r>
      <w:r w:rsidRPr="00887AF0">
        <w:rPr>
          <w:szCs w:val="24"/>
        </w:rPr>
        <w:t xml:space="preserve"> elas</w:t>
      </w:r>
      <w:r w:rsidR="00DA4404" w:rsidRPr="00887AF0">
        <w:rPr>
          <w:szCs w:val="24"/>
        </w:rPr>
        <w:t>:</w:t>
      </w:r>
      <w:r w:rsidRPr="00887AF0">
        <w:rPr>
          <w:szCs w:val="24"/>
        </w:rPr>
        <w:t xml:space="preserve"> a Ação Direta de Inconstitucionalidade (ADI), a Ação Direta de Inconstitucionalidade por Omissão (ADO), a Ação Declaratória de Constitucionalidade (ADC) e a Arguição de Descumprimento de Preceito Fundamental (ADPF)</w:t>
      </w:r>
      <w:r w:rsidR="00DA4404" w:rsidRPr="00887AF0">
        <w:rPr>
          <w:szCs w:val="24"/>
        </w:rPr>
        <w:t xml:space="preserve"> </w:t>
      </w:r>
      <w:r w:rsidR="00DA4404" w:rsidRPr="00887AF0">
        <w:rPr>
          <w:szCs w:val="24"/>
        </w:rPr>
        <w:t>(MEDEIROS, 2013)</w:t>
      </w:r>
      <w:r w:rsidRPr="00887AF0">
        <w:rPr>
          <w:szCs w:val="24"/>
        </w:rPr>
        <w:t>.</w:t>
      </w:r>
    </w:p>
    <w:p w:rsidR="00F76398" w:rsidRPr="00887AF0" w:rsidRDefault="00F76398" w:rsidP="00750C8E">
      <w:pPr>
        <w:rPr>
          <w:szCs w:val="24"/>
        </w:rPr>
      </w:pPr>
    </w:p>
    <w:p w:rsidR="00C364D2" w:rsidRPr="00887AF0" w:rsidRDefault="00787F66" w:rsidP="00A0771D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147947576"/>
      <w:r w:rsidRPr="00887AF0">
        <w:rPr>
          <w:rFonts w:ascii="Times New Roman" w:hAnsi="Times New Roman" w:cs="Times New Roman"/>
          <w:b/>
          <w:color w:val="auto"/>
          <w:sz w:val="24"/>
          <w:szCs w:val="24"/>
        </w:rPr>
        <w:t>O ESTADO DE COISAS INCONSTITUCIONAL</w:t>
      </w:r>
      <w:bookmarkEnd w:id="4"/>
    </w:p>
    <w:p w:rsidR="00925575" w:rsidRPr="00887AF0" w:rsidRDefault="00925575" w:rsidP="00925575">
      <w:pPr>
        <w:rPr>
          <w:szCs w:val="24"/>
        </w:rPr>
      </w:pPr>
      <w:r w:rsidRPr="00887AF0">
        <w:rPr>
          <w:szCs w:val="24"/>
        </w:rPr>
        <w:t xml:space="preserve">O Estado de Coisas Inconstitucional se caracteriza por um quadro de violação de direitos humanos fundamentais de forma sistemática, massiva e permanente, onde falhas estruturais de políticas estatais e omissões institucionais são fatores centrais desse cenário (CAMPOS, 2015). É uma técnica projetada pelo juiz constitucional que visa garantir a dimensão objetiva dos direitos inerentes ao ser humano (HERNÁNDEZ, 2003). A Corte atua para defender o sistema de direitos fundamentais expresso na Constituição como um todo, tanto determinando, quanto supervisionando ações públicas, sendo um agente de transformação social (CAMPOS, 2015). </w:t>
      </w:r>
    </w:p>
    <w:p w:rsidR="00406EC2" w:rsidRDefault="00406EC2" w:rsidP="00406EC2">
      <w:pPr>
        <w:rPr>
          <w:szCs w:val="24"/>
        </w:rPr>
      </w:pPr>
      <w:r>
        <w:rPr>
          <w:szCs w:val="24"/>
        </w:rPr>
        <w:t>O Estado de Coisas Inconstitucional possui três pressupostos segundo Campos (2015), são eles:</w:t>
      </w:r>
    </w:p>
    <w:p w:rsidR="00406EC2" w:rsidRPr="00D663B9" w:rsidRDefault="00406EC2" w:rsidP="00406EC2">
      <w:pPr>
        <w:pStyle w:val="PargrafodaLista"/>
        <w:numPr>
          <w:ilvl w:val="0"/>
          <w:numId w:val="4"/>
        </w:numPr>
        <w:rPr>
          <w:sz w:val="22"/>
          <w:szCs w:val="24"/>
        </w:rPr>
      </w:pPr>
      <w:r w:rsidRPr="00D663B9">
        <w:rPr>
          <w:sz w:val="22"/>
          <w:szCs w:val="24"/>
        </w:rPr>
        <w:t>A</w:t>
      </w:r>
      <w:r>
        <w:rPr>
          <w:sz w:val="22"/>
          <w:szCs w:val="24"/>
        </w:rPr>
        <w:t xml:space="preserve"> </w:t>
      </w:r>
      <w:r w:rsidRPr="00D663B9">
        <w:rPr>
          <w:sz w:val="22"/>
          <w:szCs w:val="24"/>
        </w:rPr>
        <w:t>constatação de um quadro não simplesmente d</w:t>
      </w:r>
      <w:r w:rsidRPr="00D663B9">
        <w:rPr>
          <w:sz w:val="22"/>
          <w:szCs w:val="24"/>
        </w:rPr>
        <w:t xml:space="preserve">e proteção deficiente, e sim de </w:t>
      </w:r>
      <w:r w:rsidRPr="00D663B9">
        <w:rPr>
          <w:sz w:val="22"/>
          <w:szCs w:val="24"/>
        </w:rPr>
        <w:t>violação massiva, generalizada e sistemática de direit</w:t>
      </w:r>
      <w:r w:rsidRPr="00D663B9">
        <w:rPr>
          <w:sz w:val="22"/>
          <w:szCs w:val="24"/>
        </w:rPr>
        <w:t xml:space="preserve">os fundamentais, que afeta a um número amplo de pessoas; </w:t>
      </w:r>
    </w:p>
    <w:p w:rsidR="00406EC2" w:rsidRPr="00D663B9" w:rsidRDefault="00406EC2" w:rsidP="00406EC2">
      <w:pPr>
        <w:pStyle w:val="PargrafodaLista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 xml:space="preserve">A </w:t>
      </w:r>
      <w:r w:rsidRPr="00D663B9">
        <w:rPr>
          <w:sz w:val="22"/>
          <w:szCs w:val="24"/>
        </w:rPr>
        <w:t>falta de coordenação entre medidas legislativas, admin</w:t>
      </w:r>
      <w:r w:rsidRPr="00D663B9">
        <w:rPr>
          <w:sz w:val="22"/>
          <w:szCs w:val="24"/>
        </w:rPr>
        <w:t xml:space="preserve">istrativas, orçamentárias e até </w:t>
      </w:r>
      <w:r w:rsidRPr="00D663B9">
        <w:rPr>
          <w:sz w:val="22"/>
          <w:szCs w:val="24"/>
        </w:rPr>
        <w:t>judiciais, verdadeira “falha estatal estrutural”, que ge</w:t>
      </w:r>
      <w:r w:rsidRPr="00D663B9">
        <w:rPr>
          <w:sz w:val="22"/>
          <w:szCs w:val="24"/>
        </w:rPr>
        <w:t xml:space="preserve">ra tanto a violação sistemática </w:t>
      </w:r>
      <w:r w:rsidRPr="00D663B9">
        <w:rPr>
          <w:sz w:val="22"/>
          <w:szCs w:val="24"/>
        </w:rPr>
        <w:t>dos direitos, quanto a perpetu</w:t>
      </w:r>
      <w:r w:rsidRPr="00D663B9">
        <w:rPr>
          <w:sz w:val="22"/>
          <w:szCs w:val="24"/>
        </w:rPr>
        <w:t xml:space="preserve">ação e agravamento da situação; </w:t>
      </w:r>
    </w:p>
    <w:p w:rsidR="00406EC2" w:rsidRPr="00D663B9" w:rsidRDefault="00406EC2" w:rsidP="00406EC2">
      <w:pPr>
        <w:pStyle w:val="PargrafodaLista"/>
        <w:numPr>
          <w:ilvl w:val="0"/>
          <w:numId w:val="4"/>
        </w:numPr>
        <w:rPr>
          <w:sz w:val="22"/>
          <w:szCs w:val="24"/>
        </w:rPr>
      </w:pPr>
      <w:r>
        <w:rPr>
          <w:sz w:val="22"/>
          <w:szCs w:val="24"/>
        </w:rPr>
        <w:t xml:space="preserve">A </w:t>
      </w:r>
      <w:r w:rsidRPr="00D663B9">
        <w:rPr>
          <w:sz w:val="22"/>
          <w:szCs w:val="24"/>
        </w:rPr>
        <w:t>superação dessas violações de direitos exige a</w:t>
      </w:r>
      <w:r w:rsidRPr="00D663B9">
        <w:rPr>
          <w:sz w:val="22"/>
          <w:szCs w:val="24"/>
        </w:rPr>
        <w:t xml:space="preserve"> expedição de remédios e ordens </w:t>
      </w:r>
      <w:r w:rsidRPr="00D663B9">
        <w:rPr>
          <w:sz w:val="22"/>
          <w:szCs w:val="24"/>
        </w:rPr>
        <w:t>dirigidas não apenas a um órgão, e sim a uma plura</w:t>
      </w:r>
      <w:r w:rsidRPr="00D663B9">
        <w:rPr>
          <w:sz w:val="22"/>
          <w:szCs w:val="24"/>
        </w:rPr>
        <w:t xml:space="preserve">lidade destes — são necessárias </w:t>
      </w:r>
      <w:r w:rsidRPr="00D663B9">
        <w:rPr>
          <w:sz w:val="22"/>
          <w:szCs w:val="24"/>
        </w:rPr>
        <w:t>mudanças estruturais, novas políticas públicas ou o aju</w:t>
      </w:r>
      <w:r w:rsidRPr="00D663B9">
        <w:rPr>
          <w:sz w:val="22"/>
          <w:szCs w:val="24"/>
        </w:rPr>
        <w:t xml:space="preserve">ste das existentes, alocação de </w:t>
      </w:r>
      <w:r w:rsidRPr="00D663B9">
        <w:rPr>
          <w:sz w:val="22"/>
          <w:szCs w:val="24"/>
        </w:rPr>
        <w:t>recursos etc.</w:t>
      </w:r>
      <w:r>
        <w:rPr>
          <w:sz w:val="22"/>
          <w:szCs w:val="24"/>
        </w:rPr>
        <w:t xml:space="preserve"> (CAMPOS, 2015, p. 2).</w:t>
      </w:r>
    </w:p>
    <w:p w:rsidR="00406EC2" w:rsidRDefault="00406EC2" w:rsidP="00B81DCD">
      <w:pPr>
        <w:rPr>
          <w:szCs w:val="24"/>
        </w:rPr>
      </w:pPr>
      <w:r>
        <w:rPr>
          <w:szCs w:val="24"/>
        </w:rPr>
        <w:t>Reconhecidos esses pressupostos, é importante que as cortes adotem uma atuação ativista para superar essa situação, adotando ordens flexíveis e monitorando a execução, sempre em conjunto com as demais instituições (CAMPOS, 2015).</w:t>
      </w:r>
    </w:p>
    <w:p w:rsidR="001C3368" w:rsidRDefault="00016CA9" w:rsidP="006A549D">
      <w:pPr>
        <w:rPr>
          <w:szCs w:val="24"/>
        </w:rPr>
      </w:pPr>
      <w:r>
        <w:rPr>
          <w:szCs w:val="24"/>
        </w:rPr>
        <w:lastRenderedPageBreak/>
        <w:t>Conforme Hernández (2003), a</w:t>
      </w:r>
      <w:r w:rsidR="00D663B9">
        <w:rPr>
          <w:szCs w:val="24"/>
        </w:rPr>
        <w:t xml:space="preserve"> técnica do Estado de Coisas Inconstitucional surge na Colômbia</w:t>
      </w:r>
      <w:r w:rsidR="008004E7">
        <w:rPr>
          <w:szCs w:val="24"/>
        </w:rPr>
        <w:t xml:space="preserve"> através da </w:t>
      </w:r>
      <w:r w:rsidR="008004E7">
        <w:rPr>
          <w:i/>
          <w:szCs w:val="24"/>
        </w:rPr>
        <w:t>Sentencia SU-559</w:t>
      </w:r>
      <w:r w:rsidR="008004E7">
        <w:rPr>
          <w:rStyle w:val="Refdenotaderodap"/>
          <w:i/>
          <w:szCs w:val="24"/>
        </w:rPr>
        <w:footnoteReference w:id="2"/>
      </w:r>
      <w:r w:rsidR="008004E7">
        <w:rPr>
          <w:szCs w:val="24"/>
        </w:rPr>
        <w:t xml:space="preserve"> de 06 de novembro de 1997,</w:t>
      </w:r>
      <w:r>
        <w:rPr>
          <w:szCs w:val="24"/>
        </w:rPr>
        <w:t xml:space="preserve"> no qual os professores dos municípios </w:t>
      </w:r>
      <w:proofErr w:type="spellStart"/>
      <w:r>
        <w:rPr>
          <w:szCs w:val="24"/>
        </w:rPr>
        <w:t>María</w:t>
      </w:r>
      <w:proofErr w:type="spellEnd"/>
      <w:r>
        <w:rPr>
          <w:szCs w:val="24"/>
        </w:rPr>
        <w:t xml:space="preserve"> La Baja e </w:t>
      </w:r>
      <w:proofErr w:type="spellStart"/>
      <w:r>
        <w:rPr>
          <w:szCs w:val="24"/>
        </w:rPr>
        <w:t>Zambrano</w:t>
      </w:r>
      <w:proofErr w:type="spellEnd"/>
      <w:r>
        <w:rPr>
          <w:szCs w:val="24"/>
        </w:rPr>
        <w:t xml:space="preserve"> instauraram uma ação de tutela contra seus prefeitos, pois não haviam sido filiados a nenhum fundo de prestação social, de forma que não haviam recebido as devidas prestações sociais relacionadas à saúde, mesmo que </w:t>
      </w:r>
      <w:r w:rsidR="002963D9">
        <w:rPr>
          <w:szCs w:val="24"/>
        </w:rPr>
        <w:t>sofressem</w:t>
      </w:r>
      <w:r>
        <w:rPr>
          <w:szCs w:val="24"/>
        </w:rPr>
        <w:t xml:space="preserve"> desconto de 5% em seus salários.</w:t>
      </w:r>
      <w:r w:rsidR="008004E7">
        <w:rPr>
          <w:szCs w:val="24"/>
        </w:rPr>
        <w:t xml:space="preserve"> </w:t>
      </w:r>
      <w:r w:rsidR="002963D9">
        <w:rPr>
          <w:szCs w:val="24"/>
        </w:rPr>
        <w:t>Na decisão, o</w:t>
      </w:r>
      <w:r w:rsidR="002C7FB3">
        <w:rPr>
          <w:szCs w:val="24"/>
        </w:rPr>
        <w:t xml:space="preserve"> Juiz Eduardo </w:t>
      </w:r>
      <w:proofErr w:type="spellStart"/>
      <w:r w:rsidR="002C7FB3">
        <w:rPr>
          <w:szCs w:val="24"/>
        </w:rPr>
        <w:t>Cifuentes</w:t>
      </w:r>
      <w:proofErr w:type="spellEnd"/>
      <w:r w:rsidR="002C7FB3">
        <w:rPr>
          <w:szCs w:val="24"/>
        </w:rPr>
        <w:t xml:space="preserve"> </w:t>
      </w:r>
      <w:proofErr w:type="spellStart"/>
      <w:r w:rsidR="002C7FB3">
        <w:rPr>
          <w:szCs w:val="24"/>
        </w:rPr>
        <w:t>Muñoz</w:t>
      </w:r>
      <w:proofErr w:type="spellEnd"/>
      <w:r w:rsidR="002963D9">
        <w:rPr>
          <w:szCs w:val="24"/>
        </w:rPr>
        <w:t xml:space="preserve"> reconheceu que se tratava de um </w:t>
      </w:r>
      <w:r w:rsidR="005215DB">
        <w:rPr>
          <w:szCs w:val="24"/>
        </w:rPr>
        <w:t>“</w:t>
      </w:r>
      <w:r w:rsidR="002963D9">
        <w:rPr>
          <w:szCs w:val="24"/>
        </w:rPr>
        <w:t>problema geral que a afeta um número significativo de docentes no país e cujas causas se relacionam com a execução desordenada e irracional da política educativa</w:t>
      </w:r>
      <w:r w:rsidR="005215DB">
        <w:rPr>
          <w:szCs w:val="24"/>
        </w:rPr>
        <w:t>”</w:t>
      </w:r>
      <w:r w:rsidR="002963D9">
        <w:rPr>
          <w:rStyle w:val="Refdenotaderodap"/>
          <w:szCs w:val="24"/>
        </w:rPr>
        <w:footnoteReference w:id="3"/>
      </w:r>
      <w:r w:rsidR="002C7FB3">
        <w:rPr>
          <w:szCs w:val="24"/>
        </w:rPr>
        <w:t xml:space="preserve"> (</w:t>
      </w:r>
      <w:r w:rsidR="005215DB">
        <w:rPr>
          <w:i/>
          <w:szCs w:val="24"/>
        </w:rPr>
        <w:t xml:space="preserve">apud </w:t>
      </w:r>
      <w:r w:rsidR="002C7FB3">
        <w:rPr>
          <w:szCs w:val="24"/>
        </w:rPr>
        <w:t>HERNÁNDEZ, 2003).</w:t>
      </w:r>
    </w:p>
    <w:p w:rsidR="00F76398" w:rsidRDefault="006A549D" w:rsidP="00F76398">
      <w:pPr>
        <w:rPr>
          <w:szCs w:val="24"/>
        </w:rPr>
      </w:pPr>
      <w:r>
        <w:rPr>
          <w:szCs w:val="24"/>
        </w:rPr>
        <w:t>Outro momento cujo Estado de Coisas Inconstitucional foi reconhecido na Colômbia refere-se ao caso do deslocamento forçado de pessoas</w:t>
      </w:r>
      <w:r w:rsidR="00D31994">
        <w:rPr>
          <w:szCs w:val="24"/>
        </w:rPr>
        <w:t xml:space="preserve"> devido a atuação de grupos violento, retirando seus direitos de moradia, saúde, educação e trabalho</w:t>
      </w:r>
      <w:r>
        <w:rPr>
          <w:szCs w:val="24"/>
        </w:rPr>
        <w:t>, analisado na Sentencia T-025, de 2004</w:t>
      </w:r>
      <w:r w:rsidR="00BD01A0">
        <w:rPr>
          <w:szCs w:val="24"/>
        </w:rPr>
        <w:t xml:space="preserve"> (CAMPOS, 2015)</w:t>
      </w:r>
      <w:r w:rsidR="00D31994">
        <w:rPr>
          <w:szCs w:val="24"/>
        </w:rPr>
        <w:t xml:space="preserve">. </w:t>
      </w:r>
      <w:r w:rsidR="00F9389F">
        <w:rPr>
          <w:szCs w:val="24"/>
        </w:rPr>
        <w:t xml:space="preserve">A </w:t>
      </w:r>
      <w:r w:rsidR="007D6E00">
        <w:rPr>
          <w:szCs w:val="24"/>
        </w:rPr>
        <w:t>Corte supervisionou a sua implementação, dando ordens mais flexíveis acompanhadas de monitoramento e em constante diálogo entre as instituições e a sociedade. Essa atuação, menos rígida, e em constante supervisão garantiu o sucesso da política</w:t>
      </w:r>
      <w:r w:rsidR="00F9389F">
        <w:rPr>
          <w:szCs w:val="24"/>
        </w:rPr>
        <w:t xml:space="preserve"> (CAMPOS, 2015)</w:t>
      </w:r>
      <w:r w:rsidR="007D6E00">
        <w:rPr>
          <w:szCs w:val="24"/>
        </w:rPr>
        <w:t xml:space="preserve">. </w:t>
      </w:r>
      <w:r>
        <w:rPr>
          <w:szCs w:val="24"/>
        </w:rPr>
        <w:t>Gravito e Franco (2010) apontam</w:t>
      </w:r>
      <w:r w:rsidR="007D6E00">
        <w:rPr>
          <w:szCs w:val="24"/>
        </w:rPr>
        <w:t xml:space="preserve"> </w:t>
      </w:r>
      <w:r>
        <w:rPr>
          <w:szCs w:val="24"/>
        </w:rPr>
        <w:t>que, nos seis anos posteriores a sentencia T-025, o caso teve um alto impacto no desbloqueio do aparato estatal e na localização do tema no centro do debate cidadão e das políticas públicas, teve também um efeito notável na democratização do tema, na medida que criou espaços de participação e controle da sociedade com força jurídica.</w:t>
      </w:r>
    </w:p>
    <w:p w:rsidR="006A549D" w:rsidRPr="00887AF0" w:rsidRDefault="006A549D" w:rsidP="00F76398">
      <w:pPr>
        <w:rPr>
          <w:szCs w:val="24"/>
        </w:rPr>
      </w:pPr>
    </w:p>
    <w:p w:rsidR="00D718B7" w:rsidRPr="00887AF0" w:rsidRDefault="00F12145" w:rsidP="008A7FDD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147947577"/>
      <w:r>
        <w:rPr>
          <w:rFonts w:ascii="Times New Roman" w:hAnsi="Times New Roman" w:cs="Times New Roman"/>
          <w:color w:val="auto"/>
          <w:sz w:val="24"/>
          <w:szCs w:val="24"/>
        </w:rPr>
        <w:t>CONTROVÉRSIAS ACERCA DOS PODERES</w:t>
      </w:r>
      <w:bookmarkEnd w:id="5"/>
    </w:p>
    <w:p w:rsidR="008A7FDD" w:rsidRPr="00887AF0" w:rsidRDefault="00E92600" w:rsidP="001C3368">
      <w:pPr>
        <w:rPr>
          <w:szCs w:val="24"/>
        </w:rPr>
      </w:pPr>
      <w:r w:rsidRPr="00887AF0">
        <w:rPr>
          <w:szCs w:val="24"/>
        </w:rPr>
        <w:t xml:space="preserve">Para Hernández (2003), o juiz constitucional deve usar a técnica do “estado de coisas inconstitucional” de forma razoável, se </w:t>
      </w:r>
      <w:r w:rsidR="00976FD6" w:rsidRPr="00887AF0">
        <w:rPr>
          <w:szCs w:val="24"/>
        </w:rPr>
        <w:t>auto</w:t>
      </w:r>
      <w:r w:rsidRPr="00887AF0">
        <w:rPr>
          <w:szCs w:val="24"/>
        </w:rPr>
        <w:t>limitando, até certo ponto, em suas decisões,</w:t>
      </w:r>
      <w:r w:rsidR="00976FD6" w:rsidRPr="00887AF0">
        <w:rPr>
          <w:szCs w:val="24"/>
        </w:rPr>
        <w:t xml:space="preserve"> </w:t>
      </w:r>
      <w:r w:rsidRPr="00887AF0">
        <w:rPr>
          <w:szCs w:val="24"/>
        </w:rPr>
        <w:t>respei</w:t>
      </w:r>
      <w:r w:rsidR="00976FD6" w:rsidRPr="00887AF0">
        <w:rPr>
          <w:szCs w:val="24"/>
        </w:rPr>
        <w:t>tando</w:t>
      </w:r>
      <w:r w:rsidRPr="00887AF0">
        <w:rPr>
          <w:szCs w:val="24"/>
        </w:rPr>
        <w:t xml:space="preserve"> o princípio da separação de poderes</w:t>
      </w:r>
      <w:r w:rsidR="00976FD6" w:rsidRPr="00887AF0">
        <w:rPr>
          <w:szCs w:val="24"/>
        </w:rPr>
        <w:t xml:space="preserve"> e garantindo que atendam as demandas sociais e a execução e controle de políticas públicas.</w:t>
      </w:r>
      <w:r w:rsidR="00EE0486">
        <w:rPr>
          <w:szCs w:val="24"/>
        </w:rPr>
        <w:t xml:space="preserve"> Dessa forma, a atuação do Judiciário deverá ser limitada para garantir que não haja um abuso de poder, utilizando a omissão dos demais poderes como justificativa. Essa abordagem deve ser feita em conjunto com os outros dois poderes e </w:t>
      </w:r>
      <w:r w:rsidR="00EE0486">
        <w:rPr>
          <w:szCs w:val="24"/>
        </w:rPr>
        <w:lastRenderedPageBreak/>
        <w:t>com os órgãos e entidades do Estado, garantindo que a atuação seja específica em seu respectivo âmbito.</w:t>
      </w:r>
    </w:p>
    <w:p w:rsidR="00F76398" w:rsidRPr="00887AF0" w:rsidRDefault="00F76398" w:rsidP="001C3368">
      <w:pPr>
        <w:rPr>
          <w:szCs w:val="24"/>
        </w:rPr>
      </w:pPr>
    </w:p>
    <w:p w:rsidR="00B97339" w:rsidRDefault="009B0374" w:rsidP="00601891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147947578"/>
      <w:r w:rsidRPr="00887AF0">
        <w:rPr>
          <w:rFonts w:ascii="Times New Roman" w:hAnsi="Times New Roman" w:cs="Times New Roman"/>
          <w:b/>
          <w:color w:val="auto"/>
          <w:sz w:val="24"/>
          <w:szCs w:val="24"/>
        </w:rPr>
        <w:t>O QUE ACONTECEU COM O SISTEMA PENITENCIÁRIO BRASILEIRO</w:t>
      </w:r>
      <w:bookmarkEnd w:id="6"/>
    </w:p>
    <w:p w:rsidR="00F12145" w:rsidRPr="00F12145" w:rsidRDefault="00F12145" w:rsidP="00F12145"/>
    <w:p w:rsidR="00A867D4" w:rsidRPr="00887AF0" w:rsidRDefault="00F12145" w:rsidP="00A867D4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7" w:name="_Toc147947579"/>
      <w:r>
        <w:rPr>
          <w:rFonts w:ascii="Times New Roman" w:hAnsi="Times New Roman" w:cs="Times New Roman"/>
          <w:color w:val="auto"/>
          <w:sz w:val="24"/>
          <w:szCs w:val="24"/>
        </w:rPr>
        <w:t>SUPERLOTAÇÃO</w:t>
      </w:r>
      <w:bookmarkEnd w:id="7"/>
    </w:p>
    <w:p w:rsidR="00A21A29" w:rsidRPr="00887AF0" w:rsidRDefault="00A21A29" w:rsidP="00A21A29">
      <w:pPr>
        <w:rPr>
          <w:szCs w:val="24"/>
        </w:rPr>
      </w:pPr>
      <w:r w:rsidRPr="00887AF0">
        <w:rPr>
          <w:szCs w:val="24"/>
        </w:rPr>
        <w:t>Com relação à superlotação dos presídios brasileiros, o “Novo Diagnóstico de Pessoas Presas no Brasil” (CONSELHO NACIONAL DE JUSTIÇA, 2014) nos expõe uma situação extrema: com uma capacidade total de 357.219 vagas, a população no sistema prisional registrava 563.526 presos em 2014, com um déficit de 206.307 vagas.</w:t>
      </w:r>
      <w:r w:rsidR="0001395D" w:rsidRPr="00887AF0">
        <w:rPr>
          <w:szCs w:val="24"/>
        </w:rPr>
        <w:t xml:space="preserve"> Considerando ainda as pessoas em prisão domiciliar, o relatório aponta que o Brasil é o 3º país com a maior população prisional do mundo, atrás apenas dos Estados Unidos e da China (país com a maior população mundial).</w:t>
      </w:r>
    </w:p>
    <w:p w:rsidR="00F76398" w:rsidRPr="00887AF0" w:rsidRDefault="00F76398" w:rsidP="00A21A29">
      <w:pPr>
        <w:rPr>
          <w:szCs w:val="24"/>
        </w:rPr>
      </w:pPr>
    </w:p>
    <w:p w:rsidR="00B97339" w:rsidRPr="00887AF0" w:rsidRDefault="00F12145" w:rsidP="0021222A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8" w:name="_Toc147947580"/>
      <w:r>
        <w:rPr>
          <w:rFonts w:ascii="Times New Roman" w:hAnsi="Times New Roman" w:cs="Times New Roman"/>
          <w:color w:val="auto"/>
          <w:sz w:val="24"/>
          <w:szCs w:val="24"/>
        </w:rPr>
        <w:t>VIOLAÇÃO DOS DIREITOS DOS PRESOS</w:t>
      </w:r>
      <w:bookmarkEnd w:id="8"/>
    </w:p>
    <w:p w:rsidR="007A1661" w:rsidRPr="00887AF0" w:rsidRDefault="007A1661" w:rsidP="009A151E">
      <w:pPr>
        <w:rPr>
          <w:szCs w:val="24"/>
        </w:rPr>
      </w:pPr>
      <w:r w:rsidRPr="00887AF0">
        <w:rPr>
          <w:szCs w:val="24"/>
        </w:rPr>
        <w:t>Conforme dados do relatório da Comissão Parlamentar de Inquérito que investigou sobre a situação do Sistema Carcerário brasileiro em 2009, constatamos que as violações dos direitos dos presos é regra dentro dos presídios</w:t>
      </w:r>
      <w:r w:rsidR="00CA0CF3" w:rsidRPr="00887AF0">
        <w:rPr>
          <w:szCs w:val="24"/>
        </w:rPr>
        <w:t xml:space="preserve">. Expressa pela degradação do espaço, do corpo, da mente e da dignidade do preso, é possível identificar uma situação estrutural, sistemática e duradoura, amparada pelas instituições e que reflete a omissão do Estado perante os direitos das pessoas que, mesmo privadas de liberdade, devem ser garantidos com toda força e eficiência. As principais violações </w:t>
      </w:r>
      <w:r w:rsidR="00AF554E" w:rsidRPr="00887AF0">
        <w:rPr>
          <w:szCs w:val="24"/>
        </w:rPr>
        <w:t xml:space="preserve">de direitos </w:t>
      </w:r>
      <w:r w:rsidR="00CA0CF3" w:rsidRPr="00887AF0">
        <w:rPr>
          <w:szCs w:val="24"/>
        </w:rPr>
        <w:t>apontadas pelo relatório são:</w:t>
      </w:r>
    </w:p>
    <w:p w:rsidR="009A151E" w:rsidRPr="00887AF0" w:rsidRDefault="009A151E" w:rsidP="009A151E">
      <w:pPr>
        <w:pStyle w:val="PargrafodaLista"/>
        <w:numPr>
          <w:ilvl w:val="0"/>
          <w:numId w:val="2"/>
        </w:numPr>
        <w:rPr>
          <w:szCs w:val="24"/>
        </w:rPr>
      </w:pPr>
      <w:r w:rsidRPr="00887AF0">
        <w:rPr>
          <w:b/>
          <w:szCs w:val="24"/>
        </w:rPr>
        <w:t>Falta de assistência material</w:t>
      </w:r>
      <w:r w:rsidR="001E60D6" w:rsidRPr="00887AF0">
        <w:rPr>
          <w:szCs w:val="24"/>
        </w:rPr>
        <w:t xml:space="preserve"> – </w:t>
      </w:r>
      <w:r w:rsidR="00164191">
        <w:rPr>
          <w:szCs w:val="24"/>
        </w:rPr>
        <w:t>presos não têm as condições mínimas para viver;</w:t>
      </w:r>
      <w:r w:rsidR="001E60D6" w:rsidRPr="00887AF0">
        <w:rPr>
          <w:szCs w:val="24"/>
        </w:rPr>
        <w:t xml:space="preserve"> tensão, medo, repressão, tortura e violências se estendem aos parentes nos momentos de visita</w:t>
      </w:r>
      <w:r w:rsidR="00B0268C" w:rsidRPr="00887AF0">
        <w:rPr>
          <w:szCs w:val="24"/>
        </w:rPr>
        <w:t>.</w:t>
      </w:r>
    </w:p>
    <w:p w:rsidR="009A151E" w:rsidRPr="00887AF0" w:rsidRDefault="009A151E" w:rsidP="009A151E">
      <w:pPr>
        <w:pStyle w:val="PargrafodaLista"/>
        <w:numPr>
          <w:ilvl w:val="0"/>
          <w:numId w:val="2"/>
        </w:numPr>
        <w:rPr>
          <w:szCs w:val="24"/>
        </w:rPr>
      </w:pPr>
      <w:r w:rsidRPr="00887AF0">
        <w:rPr>
          <w:b/>
          <w:szCs w:val="24"/>
        </w:rPr>
        <w:t>Acomodações</w:t>
      </w:r>
      <w:r w:rsidR="001E60D6" w:rsidRPr="00887AF0">
        <w:rPr>
          <w:szCs w:val="24"/>
        </w:rPr>
        <w:t xml:space="preserve"> – maioria dos </w:t>
      </w:r>
      <w:r w:rsidR="002D56B4">
        <w:rPr>
          <w:szCs w:val="24"/>
        </w:rPr>
        <w:t>presídios precisa de reforma;</w:t>
      </w:r>
      <w:r w:rsidR="001E60D6" w:rsidRPr="00887AF0">
        <w:rPr>
          <w:szCs w:val="24"/>
        </w:rPr>
        <w:t xml:space="preserve"> muitos não possuem instalações para alocação individual e, quando alocados coletivamente, não possuem as </w:t>
      </w:r>
      <w:r w:rsidR="00B0268C" w:rsidRPr="00887AF0">
        <w:rPr>
          <w:szCs w:val="24"/>
        </w:rPr>
        <w:t>condições mínimas de acomodação.</w:t>
      </w:r>
    </w:p>
    <w:p w:rsidR="009A151E" w:rsidRPr="00887AF0" w:rsidRDefault="009A151E" w:rsidP="009A151E">
      <w:pPr>
        <w:pStyle w:val="PargrafodaLista"/>
        <w:numPr>
          <w:ilvl w:val="0"/>
          <w:numId w:val="2"/>
        </w:numPr>
        <w:rPr>
          <w:szCs w:val="24"/>
        </w:rPr>
      </w:pPr>
      <w:r w:rsidRPr="00887AF0">
        <w:rPr>
          <w:b/>
          <w:szCs w:val="24"/>
        </w:rPr>
        <w:t>Higiene</w:t>
      </w:r>
      <w:r w:rsidR="001E60D6" w:rsidRPr="00887AF0">
        <w:rPr>
          <w:szCs w:val="24"/>
        </w:rPr>
        <w:t xml:space="preserve"> – os presos não têm ac</w:t>
      </w:r>
      <w:r w:rsidR="005C66CB" w:rsidRPr="00887AF0">
        <w:rPr>
          <w:szCs w:val="24"/>
        </w:rPr>
        <w:t>esso a água ou, se têm, não é limpa ou de boa qualidade; em celas superlotadas, passam dias sem tomar banho por falta de água; muitos não possuem banheiros</w:t>
      </w:r>
      <w:r w:rsidR="00FB53DC" w:rsidRPr="00887AF0">
        <w:rPr>
          <w:szCs w:val="24"/>
        </w:rPr>
        <w:t xml:space="preserve"> e pias; não são oferecidos artigos necessários à higiene pessoal, </w:t>
      </w:r>
      <w:r w:rsidR="00FB53DC" w:rsidRPr="00887AF0">
        <w:rPr>
          <w:szCs w:val="24"/>
        </w:rPr>
        <w:lastRenderedPageBreak/>
        <w:t>como sabonete, escova de dente ou toalhas; grande maioria das unidades prisionais é insalubre, com esgoto aberto, lixo jogado, ratos e insetos.</w:t>
      </w:r>
    </w:p>
    <w:p w:rsidR="009A151E" w:rsidRPr="00887AF0" w:rsidRDefault="009A151E" w:rsidP="009A151E">
      <w:pPr>
        <w:pStyle w:val="PargrafodaLista"/>
        <w:numPr>
          <w:ilvl w:val="0"/>
          <w:numId w:val="2"/>
        </w:numPr>
        <w:rPr>
          <w:b/>
          <w:szCs w:val="24"/>
        </w:rPr>
      </w:pPr>
      <w:r w:rsidRPr="00887AF0">
        <w:rPr>
          <w:b/>
          <w:szCs w:val="24"/>
        </w:rPr>
        <w:t>Vestuário</w:t>
      </w:r>
      <w:r w:rsidR="00AD62AF" w:rsidRPr="00887AF0">
        <w:rPr>
          <w:szCs w:val="24"/>
        </w:rPr>
        <w:t xml:space="preserve"> – na maioria das unidades, os presos utilizam suas próprias roupas, sem qualquer critério (doadas, levadas por parentes, tomadas de outros presos) ou simplesmente vestem trapos velhos; dormem em pedras nuas e frias, pois n</w:t>
      </w:r>
      <w:r w:rsidR="00900C25" w:rsidRPr="00887AF0">
        <w:rPr>
          <w:szCs w:val="24"/>
        </w:rPr>
        <w:t>ão existem colchões suficientes; em muitos estabelecimentos penais, “o principal uniforme dos presos é o próprio couro</w:t>
      </w:r>
      <w:r w:rsidR="00B75828" w:rsidRPr="00887AF0">
        <w:rPr>
          <w:szCs w:val="24"/>
        </w:rPr>
        <w:t>, onde 70 presos seminus se amontoavam em apenas uma cela</w:t>
      </w:r>
      <w:r w:rsidR="00900C25" w:rsidRPr="00887AF0">
        <w:rPr>
          <w:szCs w:val="24"/>
        </w:rPr>
        <w:t>” (</w:t>
      </w:r>
      <w:r w:rsidR="00071F87" w:rsidRPr="00887AF0">
        <w:rPr>
          <w:szCs w:val="24"/>
        </w:rPr>
        <w:t>BRASIL</w:t>
      </w:r>
      <w:r w:rsidR="00900C25" w:rsidRPr="00887AF0">
        <w:rPr>
          <w:szCs w:val="24"/>
        </w:rPr>
        <w:t>, 20</w:t>
      </w:r>
      <w:r w:rsidR="00EE3BF2" w:rsidRPr="00887AF0">
        <w:rPr>
          <w:szCs w:val="24"/>
        </w:rPr>
        <w:t>09</w:t>
      </w:r>
      <w:r w:rsidR="00900C25" w:rsidRPr="00887AF0">
        <w:rPr>
          <w:szCs w:val="24"/>
        </w:rPr>
        <w:t>, p. 197).</w:t>
      </w:r>
    </w:p>
    <w:p w:rsidR="009A151E" w:rsidRPr="00887AF0" w:rsidRDefault="009A151E" w:rsidP="009A151E">
      <w:pPr>
        <w:pStyle w:val="PargrafodaLista"/>
        <w:numPr>
          <w:ilvl w:val="0"/>
          <w:numId w:val="2"/>
        </w:numPr>
        <w:rPr>
          <w:b/>
          <w:szCs w:val="24"/>
        </w:rPr>
      </w:pPr>
      <w:r w:rsidRPr="00887AF0">
        <w:rPr>
          <w:b/>
          <w:szCs w:val="24"/>
        </w:rPr>
        <w:t>Alimentação</w:t>
      </w:r>
      <w:r w:rsidR="008940E8" w:rsidRPr="00887AF0">
        <w:rPr>
          <w:szCs w:val="24"/>
        </w:rPr>
        <w:t xml:space="preserve"> </w:t>
      </w:r>
      <w:r w:rsidR="00E51CC9" w:rsidRPr="00887AF0">
        <w:rPr>
          <w:szCs w:val="24"/>
        </w:rPr>
        <w:t>–</w:t>
      </w:r>
      <w:r w:rsidR="008940E8" w:rsidRPr="00887AF0">
        <w:rPr>
          <w:szCs w:val="24"/>
        </w:rPr>
        <w:t xml:space="preserve"> </w:t>
      </w:r>
      <w:r w:rsidR="00E51CC9" w:rsidRPr="00887AF0">
        <w:rPr>
          <w:szCs w:val="24"/>
        </w:rPr>
        <w:t>em quase todas as unidades prisionais os presos reclamam da qualidade da comida, que é servida em sacos plásticos, tendo que comerem com as mãos; denúncias de cabelo, baratas, objetos estranhos, comida azeda ou podre; existência de um mercado paralelo, com ofertas de alimentos de melhor qualidade a preços exorbitantes dentro dos presídios.</w:t>
      </w:r>
    </w:p>
    <w:p w:rsidR="009A151E" w:rsidRPr="00887AF0" w:rsidRDefault="00EC7CD6" w:rsidP="009A151E">
      <w:pPr>
        <w:pStyle w:val="PargrafodaLista"/>
        <w:numPr>
          <w:ilvl w:val="0"/>
          <w:numId w:val="2"/>
        </w:numPr>
        <w:rPr>
          <w:szCs w:val="24"/>
        </w:rPr>
      </w:pPr>
      <w:r w:rsidRPr="00887AF0">
        <w:rPr>
          <w:b/>
          <w:szCs w:val="24"/>
        </w:rPr>
        <w:t>Assistência</w:t>
      </w:r>
      <w:r w:rsidRPr="00887AF0">
        <w:rPr>
          <w:szCs w:val="24"/>
        </w:rPr>
        <w:t xml:space="preserve"> </w:t>
      </w:r>
      <w:r w:rsidRPr="00887AF0">
        <w:rPr>
          <w:b/>
          <w:szCs w:val="24"/>
        </w:rPr>
        <w:t>quanto</w:t>
      </w:r>
      <w:r w:rsidRPr="00887AF0">
        <w:rPr>
          <w:szCs w:val="24"/>
        </w:rPr>
        <w:t xml:space="preserve"> </w:t>
      </w:r>
      <w:r w:rsidRPr="00887AF0">
        <w:rPr>
          <w:b/>
          <w:szCs w:val="24"/>
        </w:rPr>
        <w:t>à</w:t>
      </w:r>
      <w:r w:rsidRPr="00887AF0">
        <w:rPr>
          <w:szCs w:val="24"/>
        </w:rPr>
        <w:t xml:space="preserve"> </w:t>
      </w:r>
      <w:r w:rsidRPr="00887AF0">
        <w:rPr>
          <w:b/>
          <w:szCs w:val="24"/>
        </w:rPr>
        <w:t>saúde</w:t>
      </w:r>
    </w:p>
    <w:p w:rsidR="009A151E" w:rsidRPr="00887AF0" w:rsidRDefault="009A151E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>Assistência médica</w:t>
      </w:r>
      <w:r w:rsidR="00A179FE" w:rsidRPr="00A179FE">
        <w:rPr>
          <w:szCs w:val="24"/>
        </w:rPr>
        <w:t xml:space="preserve"> – apenas 20% dos presos se encontravam cobertos pelas </w:t>
      </w:r>
      <w:r w:rsidR="00A179FE">
        <w:rPr>
          <w:szCs w:val="24"/>
        </w:rPr>
        <w:t>e</w:t>
      </w:r>
      <w:r w:rsidR="00A179FE" w:rsidRPr="00A179FE">
        <w:rPr>
          <w:szCs w:val="24"/>
        </w:rPr>
        <w:t>quipes de saúde</w:t>
      </w:r>
      <w:r w:rsidR="00A179FE">
        <w:rPr>
          <w:szCs w:val="24"/>
        </w:rPr>
        <w:t>, até 2007, sendo apenas 13 Estados qualificados para executar essa política.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="009A151E" w:rsidRPr="00887AF0">
        <w:rPr>
          <w:b/>
          <w:szCs w:val="24"/>
        </w:rPr>
        <w:t>Farmacêutica</w:t>
      </w:r>
      <w:r w:rsidR="00E973C7">
        <w:rPr>
          <w:szCs w:val="24"/>
        </w:rPr>
        <w:t xml:space="preserve"> – os mesmos remédios são utilizados em todos os tratamentos das mais variadas doenças; utilização de creolina (medicamento utilizado para tratamento de feridas de animais) para tratamento de pele.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="009A151E" w:rsidRPr="00887AF0">
        <w:rPr>
          <w:b/>
          <w:szCs w:val="24"/>
        </w:rPr>
        <w:t>Odontológica</w:t>
      </w:r>
      <w:r w:rsidR="00036DD7">
        <w:rPr>
          <w:szCs w:val="24"/>
        </w:rPr>
        <w:t xml:space="preserve"> </w:t>
      </w:r>
      <w:r w:rsidR="00B22682">
        <w:rPr>
          <w:szCs w:val="24"/>
        </w:rPr>
        <w:t>–</w:t>
      </w:r>
      <w:r w:rsidR="00036DD7">
        <w:rPr>
          <w:szCs w:val="24"/>
        </w:rPr>
        <w:t xml:space="preserve"> </w:t>
      </w:r>
      <w:r w:rsidR="00B22682">
        <w:rPr>
          <w:szCs w:val="24"/>
        </w:rPr>
        <w:t>não recebem assistência odontológica; quando fornecida, se limita a extração dos dentes; enorme quantidade de presos sem dentes.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="009A151E" w:rsidRPr="00887AF0">
        <w:rPr>
          <w:b/>
          <w:szCs w:val="24"/>
        </w:rPr>
        <w:t>Psicológica</w:t>
      </w:r>
      <w:r w:rsidR="00C64820" w:rsidRPr="00C64820">
        <w:rPr>
          <w:szCs w:val="24"/>
        </w:rPr>
        <w:t xml:space="preserve"> </w:t>
      </w:r>
      <w:r w:rsidR="00C64820">
        <w:rPr>
          <w:szCs w:val="24"/>
        </w:rPr>
        <w:t>–</w:t>
      </w:r>
      <w:r w:rsidR="00C64820" w:rsidRPr="00C64820">
        <w:rPr>
          <w:szCs w:val="24"/>
        </w:rPr>
        <w:t xml:space="preserve"> não</w:t>
      </w:r>
      <w:r w:rsidR="00C64820">
        <w:rPr>
          <w:szCs w:val="24"/>
        </w:rPr>
        <w:t xml:space="preserve"> possuem tratamento psicológico, considerando a situação opressora; alguns doentes mentais ainda estão presos junto com os demais, sendo que deveriam estar em centros de tratamento específicos como os Hospitais de Custódia.</w:t>
      </w:r>
    </w:p>
    <w:p w:rsidR="00EC7CD6" w:rsidRPr="00887AF0" w:rsidRDefault="00EC7CD6" w:rsidP="00EC7CD6">
      <w:pPr>
        <w:pStyle w:val="PargrafodaLista"/>
        <w:numPr>
          <w:ilvl w:val="0"/>
          <w:numId w:val="2"/>
        </w:numPr>
        <w:rPr>
          <w:b/>
          <w:szCs w:val="24"/>
        </w:rPr>
      </w:pPr>
      <w:r w:rsidRPr="00887AF0">
        <w:rPr>
          <w:b/>
          <w:szCs w:val="24"/>
        </w:rPr>
        <w:t>Assistência quanto à sociabilidade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="009A151E" w:rsidRPr="00887AF0">
        <w:rPr>
          <w:b/>
          <w:szCs w:val="24"/>
        </w:rPr>
        <w:t>Jurídica</w:t>
      </w:r>
      <w:r w:rsidR="00E41F66">
        <w:rPr>
          <w:szCs w:val="24"/>
        </w:rPr>
        <w:t xml:space="preserve"> </w:t>
      </w:r>
      <w:r w:rsidR="0038148A">
        <w:rPr>
          <w:szCs w:val="24"/>
        </w:rPr>
        <w:t>–</w:t>
      </w:r>
      <w:r w:rsidR="00E41F66">
        <w:rPr>
          <w:szCs w:val="24"/>
        </w:rPr>
        <w:t xml:space="preserve"> </w:t>
      </w:r>
      <w:r w:rsidR="0038148A">
        <w:rPr>
          <w:szCs w:val="24"/>
        </w:rPr>
        <w:t>começam desde o momento da prisão, com abuso de poder, sonegação de direitos, violência; relatos de flagrantes forjados; o preso presta depoimento sem advogado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="009A151E" w:rsidRPr="00887AF0">
        <w:rPr>
          <w:b/>
          <w:szCs w:val="24"/>
        </w:rPr>
        <w:t>Educacional</w:t>
      </w:r>
      <w:r w:rsidR="00A80768">
        <w:rPr>
          <w:szCs w:val="24"/>
        </w:rPr>
        <w:t xml:space="preserve"> </w:t>
      </w:r>
      <w:r w:rsidR="0038148A">
        <w:rPr>
          <w:szCs w:val="24"/>
        </w:rPr>
        <w:t>–</w:t>
      </w:r>
      <w:r w:rsidR="00A80768">
        <w:rPr>
          <w:szCs w:val="24"/>
        </w:rPr>
        <w:t xml:space="preserve"> </w:t>
      </w:r>
      <w:r w:rsidR="0038148A">
        <w:rPr>
          <w:szCs w:val="24"/>
        </w:rPr>
        <w:t>apenas 13,23% de presos estudando; falta de espaço físico específico, falta de material pedagógico, profissionais mal pagos.</w:t>
      </w:r>
    </w:p>
    <w:p w:rsidR="009A151E" w:rsidRPr="00887AF0" w:rsidRDefault="00EC7CD6" w:rsidP="009A151E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lastRenderedPageBreak/>
        <w:t xml:space="preserve">Assistência </w:t>
      </w:r>
      <w:r w:rsidR="009A151E" w:rsidRPr="00887AF0">
        <w:rPr>
          <w:b/>
          <w:szCs w:val="24"/>
        </w:rPr>
        <w:t>Social</w:t>
      </w:r>
      <w:r w:rsidR="002614AB">
        <w:rPr>
          <w:szCs w:val="24"/>
        </w:rPr>
        <w:t xml:space="preserve"> </w:t>
      </w:r>
      <w:r w:rsidR="00C0436C">
        <w:rPr>
          <w:szCs w:val="24"/>
        </w:rPr>
        <w:t>–</w:t>
      </w:r>
      <w:r w:rsidR="002614AB">
        <w:rPr>
          <w:szCs w:val="24"/>
        </w:rPr>
        <w:t xml:space="preserve"> </w:t>
      </w:r>
      <w:r w:rsidR="00C0436C">
        <w:rPr>
          <w:szCs w:val="24"/>
        </w:rPr>
        <w:t>falta de profissional de assistência social, em São Paulo, cerca de 476 presos para cada profissional.</w:t>
      </w:r>
    </w:p>
    <w:p w:rsidR="009A151E" w:rsidRPr="00887AF0" w:rsidRDefault="00EC7CD6" w:rsidP="00FC6B0D">
      <w:pPr>
        <w:pStyle w:val="PargrafodaLista"/>
        <w:numPr>
          <w:ilvl w:val="1"/>
          <w:numId w:val="2"/>
        </w:numPr>
        <w:rPr>
          <w:b/>
          <w:szCs w:val="24"/>
        </w:rPr>
      </w:pPr>
      <w:r w:rsidRPr="00887AF0">
        <w:rPr>
          <w:b/>
          <w:szCs w:val="24"/>
        </w:rPr>
        <w:t xml:space="preserve">Assistência </w:t>
      </w:r>
      <w:r w:rsidRPr="00887AF0">
        <w:rPr>
          <w:b/>
          <w:szCs w:val="24"/>
        </w:rPr>
        <w:t xml:space="preserve">ao </w:t>
      </w:r>
      <w:r w:rsidR="009A151E" w:rsidRPr="00887AF0">
        <w:rPr>
          <w:b/>
          <w:szCs w:val="24"/>
        </w:rPr>
        <w:t>Egresso</w:t>
      </w:r>
      <w:r w:rsidR="00A67C4B">
        <w:rPr>
          <w:b/>
          <w:szCs w:val="24"/>
        </w:rPr>
        <w:t xml:space="preserve"> </w:t>
      </w:r>
      <w:r w:rsidR="00BF5BBD" w:rsidRPr="00BF5BBD">
        <w:rPr>
          <w:szCs w:val="24"/>
        </w:rPr>
        <w:t>–</w:t>
      </w:r>
      <w:r w:rsidR="00A67C4B" w:rsidRPr="00BF5BBD">
        <w:rPr>
          <w:szCs w:val="24"/>
        </w:rPr>
        <w:t xml:space="preserve"> </w:t>
      </w:r>
      <w:r w:rsidR="00BF5BBD" w:rsidRPr="00BF5BBD">
        <w:rPr>
          <w:szCs w:val="24"/>
        </w:rPr>
        <w:t xml:space="preserve">não possuem </w:t>
      </w:r>
      <w:r w:rsidR="00BF5BBD">
        <w:rPr>
          <w:szCs w:val="24"/>
        </w:rPr>
        <w:t>nenhuma forma de acompanhamento; as famílias não são orientadas; são jogados no mundo.</w:t>
      </w:r>
    </w:p>
    <w:p w:rsidR="009A151E" w:rsidRPr="00887AF0" w:rsidRDefault="009A151E" w:rsidP="00FC6B0D">
      <w:pPr>
        <w:pStyle w:val="PargrafodaLista"/>
        <w:numPr>
          <w:ilvl w:val="0"/>
          <w:numId w:val="2"/>
        </w:numPr>
        <w:rPr>
          <w:b/>
          <w:szCs w:val="24"/>
        </w:rPr>
      </w:pPr>
      <w:r w:rsidRPr="00887AF0">
        <w:rPr>
          <w:b/>
          <w:szCs w:val="24"/>
        </w:rPr>
        <w:t>Superlotação</w:t>
      </w:r>
      <w:r w:rsidR="00830134">
        <w:softHyphen/>
      </w:r>
      <w:r w:rsidR="00830134">
        <w:rPr>
          <w:b/>
        </w:rPr>
        <w:t xml:space="preserve"> </w:t>
      </w:r>
      <w:r w:rsidR="00F01924" w:rsidRPr="00F01924">
        <w:t>–</w:t>
      </w:r>
      <w:r w:rsidR="00830134" w:rsidRPr="00F01924">
        <w:t xml:space="preserve"> </w:t>
      </w:r>
      <w:r w:rsidR="00F01924" w:rsidRPr="00F01924">
        <w:t>celas com</w:t>
      </w:r>
      <w:r w:rsidR="00F01924">
        <w:rPr>
          <w:b/>
        </w:rPr>
        <w:t xml:space="preserve"> </w:t>
      </w:r>
      <w:r w:rsidR="00F01924" w:rsidRPr="00F01924">
        <w:t>capacidade para</w:t>
      </w:r>
      <w:r w:rsidR="00F01924">
        <w:t xml:space="preserve"> 12 pessoas alocam 70; 1500 presos onde cabem apenas 500; superlotação também nas cadeias públicas e delegacias de </w:t>
      </w:r>
      <w:r w:rsidR="00F01924" w:rsidRPr="00FC6B0D">
        <w:t>pol</w:t>
      </w:r>
      <w:r w:rsidR="00FC6B0D" w:rsidRPr="00FC6B0D">
        <w:rPr>
          <w:szCs w:val="24"/>
        </w:rPr>
        <w:t>ícia</w:t>
      </w:r>
      <w:r w:rsidR="00FC6B0D">
        <w:rPr>
          <w:szCs w:val="24"/>
        </w:rPr>
        <w:t>.</w:t>
      </w:r>
    </w:p>
    <w:p w:rsidR="0027317F" w:rsidRPr="00887AF0" w:rsidRDefault="00582526" w:rsidP="0027317F">
      <w:pPr>
        <w:rPr>
          <w:szCs w:val="24"/>
        </w:rPr>
      </w:pPr>
      <w:r w:rsidRPr="00887AF0">
        <w:rPr>
          <w:szCs w:val="24"/>
        </w:rPr>
        <w:t>A realidade evidenciada pelo relatório da CPI nos lembra as descrições que Levi (19</w:t>
      </w:r>
      <w:r w:rsidR="00024FA3" w:rsidRPr="00887AF0">
        <w:rPr>
          <w:szCs w:val="24"/>
        </w:rPr>
        <w:t>88</w:t>
      </w:r>
      <w:r w:rsidRPr="00887AF0">
        <w:rPr>
          <w:szCs w:val="24"/>
        </w:rPr>
        <w:t xml:space="preserve">) </w:t>
      </w:r>
      <w:r w:rsidR="00D634EC" w:rsidRPr="00887AF0">
        <w:rPr>
          <w:szCs w:val="24"/>
        </w:rPr>
        <w:t>deu</w:t>
      </w:r>
      <w:r w:rsidRPr="00887AF0">
        <w:rPr>
          <w:szCs w:val="24"/>
        </w:rPr>
        <w:t xml:space="preserve"> para </w:t>
      </w:r>
      <w:r w:rsidR="00024FA3" w:rsidRPr="00887AF0">
        <w:rPr>
          <w:szCs w:val="24"/>
        </w:rPr>
        <w:t>as condições de vida n</w:t>
      </w:r>
      <w:r w:rsidRPr="00887AF0">
        <w:rPr>
          <w:szCs w:val="24"/>
        </w:rPr>
        <w:t>o acampamento de Auschwitz, durante o período do Holocausto Judeu</w:t>
      </w:r>
      <w:r w:rsidR="00024FA3" w:rsidRPr="00887AF0">
        <w:rPr>
          <w:szCs w:val="24"/>
        </w:rPr>
        <w:t xml:space="preserve"> pela Alemanha Nazista</w:t>
      </w:r>
      <w:r w:rsidRPr="00887AF0">
        <w:rPr>
          <w:szCs w:val="24"/>
        </w:rPr>
        <w:t>. Não é pouco</w:t>
      </w:r>
      <w:r w:rsidR="00024FA3" w:rsidRPr="00887AF0">
        <w:rPr>
          <w:szCs w:val="24"/>
        </w:rPr>
        <w:t xml:space="preserve"> a comparação, a situação degradante, ignorada pela parte majoritária da população, nos coloca em um conflito moral: julgamos como horrível o holocausto, mas </w:t>
      </w:r>
      <w:r w:rsidR="00493DD3" w:rsidRPr="00887AF0">
        <w:rPr>
          <w:szCs w:val="24"/>
        </w:rPr>
        <w:t xml:space="preserve">ao </w:t>
      </w:r>
      <w:r w:rsidR="00024FA3" w:rsidRPr="00887AF0">
        <w:rPr>
          <w:szCs w:val="24"/>
        </w:rPr>
        <w:t>ve</w:t>
      </w:r>
      <w:r w:rsidR="00493DD3" w:rsidRPr="00887AF0">
        <w:rPr>
          <w:szCs w:val="24"/>
        </w:rPr>
        <w:t>r</w:t>
      </w:r>
      <w:r w:rsidR="00024FA3" w:rsidRPr="00887AF0">
        <w:rPr>
          <w:szCs w:val="24"/>
        </w:rPr>
        <w:t>mos nosso próprio povo passando por situações idênticas os ignoramos?</w:t>
      </w:r>
    </w:p>
    <w:p w:rsidR="00F76398" w:rsidRPr="00887AF0" w:rsidRDefault="00F76398" w:rsidP="0027317F">
      <w:pPr>
        <w:rPr>
          <w:szCs w:val="24"/>
        </w:rPr>
      </w:pPr>
    </w:p>
    <w:p w:rsidR="00F12145" w:rsidRPr="00F12145" w:rsidRDefault="00F12145" w:rsidP="00F12145">
      <w:pPr>
        <w:pStyle w:val="Ttulo2"/>
        <w:rPr>
          <w:rFonts w:ascii="Times New Roman" w:hAnsi="Times New Roman" w:cs="Times New Roman"/>
          <w:color w:val="auto"/>
          <w:sz w:val="24"/>
          <w:szCs w:val="24"/>
        </w:rPr>
      </w:pPr>
      <w:bookmarkStart w:id="9" w:name="_Toc147947581"/>
      <w:r>
        <w:rPr>
          <w:rFonts w:ascii="Times New Roman" w:hAnsi="Times New Roman" w:cs="Times New Roman"/>
          <w:color w:val="auto"/>
          <w:sz w:val="24"/>
          <w:szCs w:val="24"/>
        </w:rPr>
        <w:t>USO ABUSIVO DA PRISÃO PROVISÓRIA</w:t>
      </w:r>
      <w:bookmarkEnd w:id="9"/>
    </w:p>
    <w:p w:rsidR="000370F5" w:rsidRPr="00887AF0" w:rsidRDefault="00DC76E3" w:rsidP="0068250A">
      <w:pPr>
        <w:rPr>
          <w:szCs w:val="24"/>
        </w:rPr>
      </w:pPr>
      <w:r w:rsidRPr="00887AF0">
        <w:rPr>
          <w:szCs w:val="24"/>
        </w:rPr>
        <w:t>Segundo a Pesquisa “A Aplicação de Penas e Medidas Alternativas” (), demonstra que</w:t>
      </w:r>
      <w:r w:rsidR="00570C45" w:rsidRPr="00887AF0">
        <w:rPr>
          <w:szCs w:val="24"/>
        </w:rPr>
        <w:t xml:space="preserve">, dos réus que responderam ao processo presos, 37,2% não foram condenados a penas privativas de liberdade, evidenciando o abuso do instituto da prisão provisória. Nas palavras da própria pesquisa: </w:t>
      </w:r>
      <w:r w:rsidRPr="00887AF0">
        <w:rPr>
          <w:szCs w:val="24"/>
        </w:rPr>
        <w:t>“o fato de que praticamente quatro em cada dez presos provisórios não recebem pena privativa de liberdade revela o sistemático, abusivo e desproporcional uso da prisão provisória pelo sistema de justiça no país” (IPEA, 2014).</w:t>
      </w:r>
      <w:r w:rsidR="00D67F2B" w:rsidRPr="00887AF0">
        <w:rPr>
          <w:szCs w:val="24"/>
        </w:rPr>
        <w:t xml:space="preserve"> Esse uso abusivo se demonstra com o grande número de presos provisórios, que eram mais de 240 mil pessoas até 2013.</w:t>
      </w:r>
    </w:p>
    <w:p w:rsidR="00F76398" w:rsidRPr="00887AF0" w:rsidRDefault="00F76398" w:rsidP="0068250A">
      <w:pPr>
        <w:rPr>
          <w:szCs w:val="24"/>
        </w:rPr>
      </w:pPr>
    </w:p>
    <w:p w:rsidR="0091630D" w:rsidRPr="00887AF0" w:rsidRDefault="001D3769" w:rsidP="001B7C66">
      <w:pPr>
        <w:pStyle w:val="Ttulo1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147947582"/>
      <w:r w:rsidRPr="00887AF0">
        <w:rPr>
          <w:rFonts w:ascii="Times New Roman" w:hAnsi="Times New Roman" w:cs="Times New Roman"/>
          <w:b/>
          <w:color w:val="auto"/>
          <w:sz w:val="24"/>
          <w:szCs w:val="24"/>
        </w:rPr>
        <w:t>CONCLUSÃO</w:t>
      </w:r>
      <w:bookmarkEnd w:id="10"/>
    </w:p>
    <w:p w:rsidR="00B44D87" w:rsidRPr="00887AF0" w:rsidRDefault="001B7C66">
      <w:pPr>
        <w:rPr>
          <w:szCs w:val="24"/>
        </w:rPr>
      </w:pPr>
      <w:r w:rsidRPr="00887AF0">
        <w:rPr>
          <w:szCs w:val="24"/>
        </w:rPr>
        <w:t xml:space="preserve">Analisando a realidade prisional brasileira, fica claro que estamos diante de um Estado de Coisas Inconstitucional, evidenciado pela omissão do governo quanto aos direitos violados dos presos e quanto ao caráter estrutural e permanente </w:t>
      </w:r>
      <w:r w:rsidR="00FF3358" w:rsidRPr="00887AF0">
        <w:rPr>
          <w:szCs w:val="24"/>
        </w:rPr>
        <w:t xml:space="preserve">de degradação, </w:t>
      </w:r>
      <w:r w:rsidRPr="00887AF0">
        <w:rPr>
          <w:szCs w:val="24"/>
        </w:rPr>
        <w:t>no qual se situam os estabelecimentos penais do país.</w:t>
      </w:r>
      <w:r w:rsidR="00AB7A7E" w:rsidRPr="00887AF0">
        <w:rPr>
          <w:szCs w:val="24"/>
        </w:rPr>
        <w:t xml:space="preserve"> </w:t>
      </w:r>
      <w:r w:rsidR="00B75398" w:rsidRPr="00887AF0">
        <w:rPr>
          <w:szCs w:val="24"/>
        </w:rPr>
        <w:t>Para tentar solucionar a situação degradante dos presídios brasileiros, em 2015, o Partido Socialismo e Liberdade (PSOL), advogado principalmente pelo Dr. Daniel Antônio de Moraes Sarmento, ajuíza a Arguição de descumprimento de Preceito Fundamental</w:t>
      </w:r>
      <w:r w:rsidR="00B44D87" w:rsidRPr="00887AF0">
        <w:rPr>
          <w:szCs w:val="24"/>
        </w:rPr>
        <w:t xml:space="preserve"> (ADPF)</w:t>
      </w:r>
      <w:r w:rsidR="00B75398" w:rsidRPr="00887AF0">
        <w:rPr>
          <w:szCs w:val="24"/>
        </w:rPr>
        <w:t xml:space="preserve"> número 347 para análise do Supremo Tribunal Federal.</w:t>
      </w:r>
      <w:r w:rsidR="009D6225" w:rsidRPr="00887AF0">
        <w:rPr>
          <w:szCs w:val="24"/>
        </w:rPr>
        <w:t xml:space="preserve"> O partido pede</w:t>
      </w:r>
      <w:r w:rsidR="00AA58FF" w:rsidRPr="00887AF0">
        <w:rPr>
          <w:szCs w:val="24"/>
        </w:rPr>
        <w:t>, em sua petição inicial,</w:t>
      </w:r>
      <w:r w:rsidR="009D6225" w:rsidRPr="00887AF0">
        <w:rPr>
          <w:szCs w:val="24"/>
        </w:rPr>
        <w:t xml:space="preserve"> que:</w:t>
      </w:r>
    </w:p>
    <w:p w:rsidR="007319CF" w:rsidRPr="00887AF0" w:rsidRDefault="009D6225" w:rsidP="007319CF">
      <w:pPr>
        <w:ind w:left="708"/>
        <w:rPr>
          <w:szCs w:val="24"/>
        </w:rPr>
      </w:pPr>
      <w:r w:rsidRPr="00887AF0">
        <w:rPr>
          <w:szCs w:val="24"/>
        </w:rPr>
        <w:lastRenderedPageBreak/>
        <w:t>[...]</w:t>
      </w:r>
      <w:r w:rsidR="00B44D87" w:rsidRPr="00887AF0">
        <w:rPr>
          <w:szCs w:val="24"/>
        </w:rPr>
        <w:t xml:space="preserve"> seja reconhecido o estado de coisas inconstitucional do sistema penitenciário brasileiro, e, em razão disso, determina a adoção das providências listadas ao final, tendentes a sanar as gravíssimas lesões a preceitos fundamentais da Constituição, decorrentes de condutas comissivas e omissivas dos poderes públicos da União, dos Estados e do Distrito Federal, a seguir descritas, no tratamento da questão prisional do país (</w:t>
      </w:r>
      <w:r w:rsidR="00AA58FF" w:rsidRPr="00887AF0">
        <w:rPr>
          <w:szCs w:val="24"/>
        </w:rPr>
        <w:t>STF</w:t>
      </w:r>
      <w:r w:rsidR="008B55B8" w:rsidRPr="00887AF0">
        <w:rPr>
          <w:szCs w:val="24"/>
        </w:rPr>
        <w:t>. ADPF 347. Petição Inicial.</w:t>
      </w:r>
      <w:r w:rsidR="00AA58FF" w:rsidRPr="00887AF0">
        <w:rPr>
          <w:szCs w:val="24"/>
        </w:rPr>
        <w:t xml:space="preserve"> 2015</w:t>
      </w:r>
      <w:r w:rsidR="00B44D87" w:rsidRPr="00887AF0">
        <w:rPr>
          <w:szCs w:val="24"/>
        </w:rPr>
        <w:t>).</w:t>
      </w:r>
    </w:p>
    <w:p w:rsidR="00D718B7" w:rsidRPr="00887AF0" w:rsidRDefault="00270340" w:rsidP="007319CF">
      <w:pPr>
        <w:rPr>
          <w:szCs w:val="24"/>
        </w:rPr>
      </w:pPr>
      <w:r w:rsidRPr="00887AF0">
        <w:rPr>
          <w:szCs w:val="24"/>
        </w:rPr>
        <w:t>Esta arguição deu frutos e, em 04 de outubro de 2023, o Supremo Tribunal Federal reconheceu a situação do Estado de Coisas Inconstitucional nos presídios e</w:t>
      </w:r>
      <w:r w:rsidR="00097E7B" w:rsidRPr="00887AF0">
        <w:rPr>
          <w:szCs w:val="24"/>
        </w:rPr>
        <w:t xml:space="preserve"> definiu algumas sugestões de </w:t>
      </w:r>
      <w:r w:rsidR="00316686" w:rsidRPr="00887AF0">
        <w:rPr>
          <w:szCs w:val="24"/>
        </w:rPr>
        <w:t xml:space="preserve">políticas públicas, segundo Carvalho (2023) são elas: </w:t>
      </w:r>
      <w:r w:rsidR="002B049A" w:rsidRPr="00887AF0">
        <w:rPr>
          <w:szCs w:val="24"/>
        </w:rPr>
        <w:t xml:space="preserve">liberação dos recursos do Fundo Penitenciário Nacional (Funpen) para o setor; </w:t>
      </w:r>
      <w:r w:rsidR="002B049A" w:rsidRPr="00887AF0">
        <w:rPr>
          <w:szCs w:val="24"/>
        </w:rPr>
        <w:t>elaboração, em até seis meses, dos Planos Nacional, Estadual e Distrital, em conjunto com o Conselho Nacional de Justiça (CNJ), a sociedade civil, a União, as respectivas unidades federativas e órgãos competentes, de forma a superar o estado de coisas inconstitucional, e, em até três anos, sua implementação</w:t>
      </w:r>
      <w:r w:rsidR="00256DB6" w:rsidRPr="00887AF0">
        <w:rPr>
          <w:szCs w:val="24"/>
        </w:rPr>
        <w:t xml:space="preserve"> e monitoramento pelo DMF do CNJ, supervisionado pelo STF</w:t>
      </w:r>
      <w:r w:rsidR="002B049A" w:rsidRPr="00887AF0">
        <w:rPr>
          <w:szCs w:val="24"/>
        </w:rPr>
        <w:t>;</w:t>
      </w:r>
      <w:r w:rsidR="00256DB6" w:rsidRPr="00887AF0">
        <w:rPr>
          <w:szCs w:val="24"/>
        </w:rPr>
        <w:t xml:space="preserve"> e</w:t>
      </w:r>
      <w:r w:rsidR="00D53E91" w:rsidRPr="00887AF0">
        <w:rPr>
          <w:szCs w:val="24"/>
        </w:rPr>
        <w:t xml:space="preserve"> realização de audiências de custódia dos presos, em até noventa dias, sendo este apresentado a um juiz em</w:t>
      </w:r>
      <w:r w:rsidR="00256DB6" w:rsidRPr="00887AF0">
        <w:rPr>
          <w:szCs w:val="24"/>
        </w:rPr>
        <w:t xml:space="preserve"> no máximo 24 horas</w:t>
      </w:r>
      <w:r w:rsidR="007D05B4" w:rsidRPr="00887AF0">
        <w:rPr>
          <w:szCs w:val="24"/>
        </w:rPr>
        <w:t>.</w:t>
      </w:r>
      <w:r w:rsidR="00CE7258">
        <w:rPr>
          <w:szCs w:val="24"/>
        </w:rPr>
        <w:t xml:space="preserve"> </w:t>
      </w:r>
      <w:r w:rsidR="006B2C36" w:rsidRPr="00887AF0">
        <w:rPr>
          <w:szCs w:val="24"/>
        </w:rPr>
        <w:t>Com o</w:t>
      </w:r>
      <w:r w:rsidR="005D678C" w:rsidRPr="00887AF0">
        <w:rPr>
          <w:szCs w:val="24"/>
        </w:rPr>
        <w:t xml:space="preserve"> S</w:t>
      </w:r>
      <w:r w:rsidR="006B2C36" w:rsidRPr="00887AF0">
        <w:rPr>
          <w:szCs w:val="24"/>
        </w:rPr>
        <w:t xml:space="preserve">upremo Tribunal Federal </w:t>
      </w:r>
      <w:r w:rsidR="005D678C" w:rsidRPr="00887AF0">
        <w:rPr>
          <w:szCs w:val="24"/>
        </w:rPr>
        <w:t>atuando de forma conjunta com os demais poderes e instituições do Estado</w:t>
      </w:r>
      <w:r w:rsidR="006B2C36" w:rsidRPr="00887AF0">
        <w:rPr>
          <w:szCs w:val="24"/>
        </w:rPr>
        <w:t xml:space="preserve">, podemos visualizar um futuro esperançoso para a situação dos </w:t>
      </w:r>
      <w:r w:rsidR="005D678C" w:rsidRPr="00887AF0">
        <w:rPr>
          <w:szCs w:val="24"/>
        </w:rPr>
        <w:t>presídios.</w:t>
      </w:r>
      <w:r w:rsidR="00D718B7" w:rsidRPr="00887AF0">
        <w:rPr>
          <w:szCs w:val="24"/>
        </w:rPr>
        <w:br w:type="page"/>
      </w:r>
    </w:p>
    <w:p w:rsidR="00E82CB9" w:rsidRPr="00887AF0" w:rsidRDefault="00AA1912" w:rsidP="00401841">
      <w:pPr>
        <w:pStyle w:val="Ttulo1"/>
        <w:rPr>
          <w:rFonts w:ascii="Times New Roman" w:hAnsi="Times New Roman" w:cs="Times New Roman"/>
          <w:color w:val="auto"/>
          <w:sz w:val="24"/>
          <w:szCs w:val="24"/>
        </w:rPr>
      </w:pPr>
      <w:bookmarkStart w:id="11" w:name="_Toc147947583"/>
      <w:r w:rsidRPr="00887AF0">
        <w:rPr>
          <w:rFonts w:ascii="Times New Roman" w:hAnsi="Times New Roman" w:cs="Times New Roman"/>
          <w:color w:val="auto"/>
          <w:sz w:val="24"/>
          <w:szCs w:val="24"/>
        </w:rPr>
        <w:lastRenderedPageBreak/>
        <w:t>REFERÊNCIAS</w:t>
      </w:r>
      <w:bookmarkEnd w:id="11"/>
    </w:p>
    <w:p w:rsidR="00407592" w:rsidRPr="00887AF0" w:rsidRDefault="00407592">
      <w:pPr>
        <w:rPr>
          <w:szCs w:val="24"/>
        </w:rPr>
      </w:pPr>
    </w:p>
    <w:p w:rsidR="00D91DD5" w:rsidRPr="00887AF0" w:rsidRDefault="003F6225">
      <w:pPr>
        <w:rPr>
          <w:szCs w:val="24"/>
        </w:rPr>
      </w:pPr>
      <w:r w:rsidRPr="00887AF0">
        <w:rPr>
          <w:szCs w:val="24"/>
        </w:rPr>
        <w:t xml:space="preserve">BITTENCOURT, C. A. Lúcio. </w:t>
      </w:r>
      <w:r w:rsidRPr="00887AF0">
        <w:rPr>
          <w:b/>
          <w:szCs w:val="24"/>
        </w:rPr>
        <w:t>O controle jurisdicional da constitucionalidade das leis</w:t>
      </w:r>
      <w:r w:rsidR="00B5165D" w:rsidRPr="00887AF0">
        <w:rPr>
          <w:szCs w:val="24"/>
        </w:rPr>
        <w:t xml:space="preserve">. </w:t>
      </w:r>
      <w:r w:rsidRPr="00887AF0">
        <w:rPr>
          <w:szCs w:val="24"/>
        </w:rPr>
        <w:t>Brasília: Ministério da Justiça, 1997.</w:t>
      </w:r>
    </w:p>
    <w:p w:rsidR="00C26357" w:rsidRPr="00887AF0" w:rsidRDefault="00F81289">
      <w:pPr>
        <w:rPr>
          <w:szCs w:val="24"/>
        </w:rPr>
      </w:pPr>
      <w:r w:rsidRPr="00887AF0">
        <w:rPr>
          <w:szCs w:val="24"/>
        </w:rPr>
        <w:t>BRASIL. CONGRESSO NACIONAL, CÂMARA DOS DEPUTADOS</w:t>
      </w:r>
      <w:r w:rsidR="00C26357" w:rsidRPr="00887AF0">
        <w:rPr>
          <w:szCs w:val="24"/>
        </w:rPr>
        <w:t xml:space="preserve">. </w:t>
      </w:r>
      <w:r w:rsidR="00C26357" w:rsidRPr="00887AF0">
        <w:rPr>
          <w:b/>
          <w:szCs w:val="24"/>
        </w:rPr>
        <w:t>Comissão Parlamentar de Inquérito do Sistema Carcerário</w:t>
      </w:r>
      <w:r w:rsidR="00C26357" w:rsidRPr="00887AF0">
        <w:rPr>
          <w:szCs w:val="24"/>
        </w:rPr>
        <w:t>. CPI sistema Carcerário. Brasília: Câmara dos Deputados, 2009. Disponível em:</w:t>
      </w:r>
      <w:r w:rsidR="006419D9" w:rsidRPr="00887AF0">
        <w:rPr>
          <w:szCs w:val="24"/>
        </w:rPr>
        <w:t xml:space="preserve"> </w:t>
      </w:r>
      <w:hyperlink r:id="rId9" w:history="1">
        <w:r w:rsidR="00C26357" w:rsidRPr="00887AF0">
          <w:rPr>
            <w:rStyle w:val="Hyperlink"/>
            <w:color w:val="auto"/>
            <w:szCs w:val="24"/>
            <w:u w:val="none"/>
          </w:rPr>
          <w:t>https://redir.stf.jus.br/paginadorpub/paginador.jsp?docTP=TP&amp;docID=8589056&amp;prcID=4783560#</w:t>
        </w:r>
      </w:hyperlink>
      <w:r w:rsidR="00C26357" w:rsidRPr="00887AF0">
        <w:rPr>
          <w:szCs w:val="24"/>
        </w:rPr>
        <w:t>. Acesso em: 14 ago. 2023.</w:t>
      </w:r>
    </w:p>
    <w:p w:rsidR="00BC1C05" w:rsidRPr="00887AF0" w:rsidRDefault="00BC1C05">
      <w:pPr>
        <w:rPr>
          <w:szCs w:val="24"/>
        </w:rPr>
      </w:pPr>
      <w:r w:rsidRPr="00887AF0">
        <w:rPr>
          <w:szCs w:val="24"/>
        </w:rPr>
        <w:t xml:space="preserve">BRASIL. Constituição (1988). </w:t>
      </w:r>
      <w:r w:rsidRPr="00887AF0">
        <w:rPr>
          <w:b/>
          <w:szCs w:val="24"/>
        </w:rPr>
        <w:t>Constituição da República Federativa do Brasil.</w:t>
      </w:r>
      <w:r w:rsidRPr="00887AF0">
        <w:rPr>
          <w:szCs w:val="24"/>
        </w:rPr>
        <w:t xml:space="preserve"> Brasília, DF: Senado, 1988.</w:t>
      </w:r>
    </w:p>
    <w:p w:rsidR="007D3CF2" w:rsidRPr="00887AF0" w:rsidRDefault="007D3CF2">
      <w:pPr>
        <w:rPr>
          <w:szCs w:val="24"/>
        </w:rPr>
      </w:pPr>
      <w:r w:rsidRPr="00887AF0">
        <w:rPr>
          <w:szCs w:val="24"/>
        </w:rPr>
        <w:t xml:space="preserve">BRASIL. Supremo Tribunal Federal. </w:t>
      </w:r>
      <w:r w:rsidRPr="00887AF0">
        <w:rPr>
          <w:b/>
          <w:szCs w:val="24"/>
        </w:rPr>
        <w:t xml:space="preserve">Arguição de Descumprimento de Preceito Fundamental </w:t>
      </w:r>
      <w:r w:rsidR="00CA1B6A" w:rsidRPr="00887AF0">
        <w:rPr>
          <w:b/>
          <w:szCs w:val="24"/>
        </w:rPr>
        <w:t>347</w:t>
      </w:r>
      <w:r w:rsidRPr="00887AF0">
        <w:rPr>
          <w:b/>
          <w:szCs w:val="24"/>
        </w:rPr>
        <w:t>.</w:t>
      </w:r>
      <w:r w:rsidRPr="00887AF0">
        <w:rPr>
          <w:szCs w:val="24"/>
        </w:rPr>
        <w:t xml:space="preserve"> </w:t>
      </w:r>
      <w:r w:rsidR="00CA1B6A" w:rsidRPr="00887AF0">
        <w:rPr>
          <w:szCs w:val="24"/>
        </w:rPr>
        <w:t>Brasília, 27 maio 2015</w:t>
      </w:r>
      <w:r w:rsidRPr="00887AF0">
        <w:rPr>
          <w:szCs w:val="24"/>
        </w:rPr>
        <w:t>.</w:t>
      </w:r>
    </w:p>
    <w:p w:rsidR="006D5BBF" w:rsidRPr="00887AF0" w:rsidRDefault="006D5BBF">
      <w:pPr>
        <w:rPr>
          <w:szCs w:val="24"/>
        </w:rPr>
      </w:pPr>
      <w:r w:rsidRPr="00887AF0">
        <w:rPr>
          <w:szCs w:val="24"/>
        </w:rPr>
        <w:t xml:space="preserve">BRASIL. Supremo Tribunal Federal. </w:t>
      </w:r>
      <w:r w:rsidRPr="00887AF0">
        <w:rPr>
          <w:b/>
          <w:szCs w:val="24"/>
        </w:rPr>
        <w:t>Institucional.</w:t>
      </w:r>
      <w:r w:rsidR="009143D3" w:rsidRPr="00887AF0">
        <w:rPr>
          <w:szCs w:val="24"/>
        </w:rPr>
        <w:t xml:space="preserve"> 23 maio 2023.</w:t>
      </w:r>
      <w:r w:rsidRPr="00887AF0">
        <w:rPr>
          <w:szCs w:val="24"/>
        </w:rPr>
        <w:t xml:space="preserve"> Disponível em: https://portal.stf.jus.br/textos/verTexto.asp?servico=sobreStfConhecaStfInstitucional. Acesso em: 11 out. 2023.</w:t>
      </w:r>
    </w:p>
    <w:p w:rsidR="002465BC" w:rsidRPr="00887AF0" w:rsidRDefault="002465BC">
      <w:pPr>
        <w:rPr>
          <w:szCs w:val="24"/>
        </w:rPr>
      </w:pPr>
      <w:r w:rsidRPr="00887AF0">
        <w:rPr>
          <w:szCs w:val="24"/>
        </w:rPr>
        <w:t xml:space="preserve">CAMPOS, Carlos Alexandre de Azevedo. </w:t>
      </w:r>
      <w:r w:rsidRPr="00887AF0">
        <w:rPr>
          <w:b/>
          <w:szCs w:val="24"/>
        </w:rPr>
        <w:t>O Estado de Coisas Inconstitucional e o litígio estrutural</w:t>
      </w:r>
      <w:r w:rsidRPr="00887AF0">
        <w:rPr>
          <w:szCs w:val="24"/>
        </w:rPr>
        <w:t xml:space="preserve">. Revista Consultor Jurídico, set. 2015. Disponível em: </w:t>
      </w:r>
      <w:hyperlink r:id="rId10" w:history="1">
        <w:r w:rsidRPr="00887AF0">
          <w:rPr>
            <w:rStyle w:val="Hyperlink"/>
            <w:color w:val="auto"/>
            <w:szCs w:val="24"/>
            <w:u w:val="none"/>
          </w:rPr>
          <w:t>https://www.conjur.com.br/2015-set-01/carlos-campos-estado-coisas-inconstitucional-litigio-estrutural</w:t>
        </w:r>
      </w:hyperlink>
      <w:r w:rsidRPr="00887AF0">
        <w:rPr>
          <w:szCs w:val="24"/>
        </w:rPr>
        <w:t>. Acesso em 03 ago. 2023.</w:t>
      </w:r>
    </w:p>
    <w:p w:rsidR="0091576C" w:rsidRPr="00887AF0" w:rsidRDefault="002D1952">
      <w:pPr>
        <w:rPr>
          <w:szCs w:val="24"/>
        </w:rPr>
      </w:pPr>
      <w:r w:rsidRPr="00887AF0">
        <w:rPr>
          <w:szCs w:val="24"/>
        </w:rPr>
        <w:t>______</w:t>
      </w:r>
      <w:r w:rsidR="0091576C" w:rsidRPr="00887AF0">
        <w:rPr>
          <w:szCs w:val="24"/>
        </w:rPr>
        <w:t xml:space="preserve">. </w:t>
      </w:r>
      <w:r w:rsidR="0091576C" w:rsidRPr="00887AF0">
        <w:rPr>
          <w:b/>
          <w:szCs w:val="24"/>
        </w:rPr>
        <w:t>Dimensões do ativismo judicial</w:t>
      </w:r>
      <w:r w:rsidR="000D1F8C" w:rsidRPr="00887AF0">
        <w:rPr>
          <w:b/>
          <w:szCs w:val="24"/>
        </w:rPr>
        <w:t xml:space="preserve"> no Supremo Tribunal Federal</w:t>
      </w:r>
      <w:r w:rsidR="000D1F8C" w:rsidRPr="00887AF0">
        <w:rPr>
          <w:szCs w:val="24"/>
        </w:rPr>
        <w:t>. Dissertação (Mestrado</w:t>
      </w:r>
      <w:r w:rsidR="0091576C" w:rsidRPr="00887AF0">
        <w:rPr>
          <w:szCs w:val="24"/>
        </w:rPr>
        <w:t>) - Universidade do Estado do Rio de Janeiro, Rio de Janeiro, 2012.</w:t>
      </w:r>
    </w:p>
    <w:p w:rsidR="00264848" w:rsidRPr="00887AF0" w:rsidRDefault="00264848">
      <w:pPr>
        <w:rPr>
          <w:szCs w:val="24"/>
        </w:rPr>
      </w:pPr>
      <w:r w:rsidRPr="00887AF0">
        <w:rPr>
          <w:szCs w:val="24"/>
        </w:rPr>
        <w:t xml:space="preserve">______. </w:t>
      </w:r>
      <w:r w:rsidRPr="00887AF0">
        <w:rPr>
          <w:b/>
          <w:szCs w:val="24"/>
        </w:rPr>
        <w:t xml:space="preserve">Da inconstitucionalidade por omissão ao </w:t>
      </w:r>
      <w:r w:rsidR="000D1F8C" w:rsidRPr="00887AF0">
        <w:rPr>
          <w:b/>
          <w:szCs w:val="24"/>
        </w:rPr>
        <w:t>“</w:t>
      </w:r>
      <w:r w:rsidRPr="00887AF0">
        <w:rPr>
          <w:b/>
          <w:szCs w:val="24"/>
        </w:rPr>
        <w:t xml:space="preserve">Estado de coisas </w:t>
      </w:r>
      <w:r w:rsidR="00867644" w:rsidRPr="00887AF0">
        <w:rPr>
          <w:b/>
          <w:szCs w:val="24"/>
        </w:rPr>
        <w:t>inconstitucional</w:t>
      </w:r>
      <w:r w:rsidR="000D1F8C" w:rsidRPr="00887AF0">
        <w:rPr>
          <w:b/>
          <w:szCs w:val="24"/>
        </w:rPr>
        <w:t>”</w:t>
      </w:r>
      <w:r w:rsidR="00867644" w:rsidRPr="00887AF0">
        <w:rPr>
          <w:szCs w:val="24"/>
        </w:rPr>
        <w:t>.</w:t>
      </w:r>
      <w:r w:rsidRPr="00887AF0">
        <w:rPr>
          <w:szCs w:val="24"/>
        </w:rPr>
        <w:t xml:space="preserve"> Tese (Doutorado) - Universidade do Estado do Rio de Janeiro, Rio de Janeiro, 2015.</w:t>
      </w:r>
    </w:p>
    <w:p w:rsidR="0078404E" w:rsidRPr="00887AF0" w:rsidRDefault="00537BB4" w:rsidP="00601891">
      <w:pPr>
        <w:rPr>
          <w:szCs w:val="24"/>
        </w:rPr>
      </w:pPr>
      <w:r w:rsidRPr="00887AF0">
        <w:rPr>
          <w:szCs w:val="24"/>
        </w:rPr>
        <w:t xml:space="preserve">CONSELHO NACIONAL DE JUSTIÇA. </w:t>
      </w:r>
      <w:r w:rsidRPr="00887AF0">
        <w:rPr>
          <w:b/>
          <w:szCs w:val="24"/>
        </w:rPr>
        <w:t>Novo diagnóstico de pessoas presas no Brasil</w:t>
      </w:r>
      <w:r w:rsidRPr="00887AF0">
        <w:rPr>
          <w:szCs w:val="24"/>
        </w:rPr>
        <w:t xml:space="preserve">. Brasília: DMF, 2014. Disponível em: </w:t>
      </w:r>
      <w:hyperlink r:id="rId11" w:history="1">
        <w:r w:rsidRPr="00887AF0">
          <w:rPr>
            <w:rStyle w:val="Hyperlink"/>
            <w:color w:val="auto"/>
            <w:szCs w:val="24"/>
            <w:u w:val="none"/>
          </w:rPr>
          <w:t>https://redir.stf.jus.br/paginadorpub/paginador.jsp?docTP=TP&amp;docID=8589058&amp;prcID=4783560#</w:t>
        </w:r>
      </w:hyperlink>
      <w:r w:rsidRPr="00887AF0">
        <w:rPr>
          <w:szCs w:val="24"/>
        </w:rPr>
        <w:t>. Acesso em: 14 ago. 2023.</w:t>
      </w:r>
    </w:p>
    <w:p w:rsidR="00097E7B" w:rsidRPr="00887AF0" w:rsidRDefault="00097E7B" w:rsidP="0082753D">
      <w:pPr>
        <w:rPr>
          <w:szCs w:val="24"/>
        </w:rPr>
      </w:pPr>
      <w:r w:rsidRPr="00887AF0">
        <w:rPr>
          <w:szCs w:val="24"/>
        </w:rPr>
        <w:t xml:space="preserve">CARVALHO, </w:t>
      </w:r>
      <w:proofErr w:type="spellStart"/>
      <w:r w:rsidRPr="00887AF0">
        <w:rPr>
          <w:szCs w:val="24"/>
        </w:rPr>
        <w:t>Mirielle</w:t>
      </w:r>
      <w:proofErr w:type="spellEnd"/>
      <w:r w:rsidRPr="00887AF0">
        <w:rPr>
          <w:szCs w:val="24"/>
        </w:rPr>
        <w:t xml:space="preserve">. Em decisão unânime, STF reconhece estado coisas inconstitucional nos presídios. </w:t>
      </w:r>
      <w:r w:rsidRPr="00887AF0">
        <w:rPr>
          <w:b/>
          <w:szCs w:val="24"/>
        </w:rPr>
        <w:t>Jota</w:t>
      </w:r>
      <w:r w:rsidRPr="00887AF0">
        <w:rPr>
          <w:szCs w:val="24"/>
        </w:rPr>
        <w:t>, São Paulo, 04 out. 2023. Disponível em: https://www.jota.info/stf/do-</w:t>
      </w:r>
      <w:r w:rsidRPr="00887AF0">
        <w:rPr>
          <w:szCs w:val="24"/>
        </w:rPr>
        <w:lastRenderedPageBreak/>
        <w:t>supremo/em-decisao-unanime-stf-reconhece-estado-de-coisas-inconstitucional-nos-presidios-04102023. Acesso em: 11 out. 2023.</w:t>
      </w:r>
    </w:p>
    <w:p w:rsidR="0082753D" w:rsidRPr="00887AF0" w:rsidRDefault="0082753D" w:rsidP="0082753D">
      <w:pPr>
        <w:rPr>
          <w:szCs w:val="24"/>
        </w:rPr>
      </w:pPr>
      <w:r w:rsidRPr="00887AF0">
        <w:rPr>
          <w:szCs w:val="24"/>
        </w:rPr>
        <w:t>GRAVITO, César Rodríguez; FRANCO, Diana Rodríguez. Cortes y Cambio Social.</w:t>
      </w:r>
      <w:r w:rsidR="00E679A5" w:rsidRPr="00887AF0">
        <w:rPr>
          <w:szCs w:val="24"/>
        </w:rPr>
        <w:t xml:space="preserve"> </w:t>
      </w:r>
      <w:proofErr w:type="spellStart"/>
      <w:r w:rsidRPr="00887AF0">
        <w:rPr>
          <w:b/>
          <w:szCs w:val="24"/>
        </w:rPr>
        <w:t>Cómo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la</w:t>
      </w:r>
      <w:proofErr w:type="spellEnd"/>
      <w:r w:rsidRPr="00887AF0">
        <w:rPr>
          <w:b/>
          <w:szCs w:val="24"/>
        </w:rPr>
        <w:t xml:space="preserve"> Corte Constitucional </w:t>
      </w:r>
      <w:proofErr w:type="spellStart"/>
      <w:r w:rsidRPr="00887AF0">
        <w:rPr>
          <w:b/>
          <w:szCs w:val="24"/>
        </w:rPr>
        <w:t>transform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el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desplazamiento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forzado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en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Colombia</w:t>
      </w:r>
      <w:proofErr w:type="spellEnd"/>
      <w:r w:rsidRPr="00887AF0">
        <w:rPr>
          <w:szCs w:val="24"/>
        </w:rPr>
        <w:t xml:space="preserve">. Bogotá: </w:t>
      </w:r>
      <w:proofErr w:type="spellStart"/>
      <w:r w:rsidRPr="00887AF0">
        <w:rPr>
          <w:szCs w:val="24"/>
        </w:rPr>
        <w:t>Dejusticia</w:t>
      </w:r>
      <w:proofErr w:type="spellEnd"/>
      <w:r w:rsidRPr="00887AF0">
        <w:rPr>
          <w:szCs w:val="24"/>
        </w:rPr>
        <w:t>, 2010</w:t>
      </w:r>
      <w:r w:rsidR="00167286" w:rsidRPr="00887AF0">
        <w:rPr>
          <w:szCs w:val="24"/>
        </w:rPr>
        <w:t xml:space="preserve">. </w:t>
      </w:r>
      <w:r w:rsidR="00E679A5" w:rsidRPr="00887AF0">
        <w:rPr>
          <w:szCs w:val="24"/>
        </w:rPr>
        <w:t xml:space="preserve"> Disponível em: </w:t>
      </w:r>
      <w:hyperlink r:id="rId12" w:history="1">
        <w:r w:rsidR="00E679A5" w:rsidRPr="00887AF0">
          <w:rPr>
            <w:rStyle w:val="Hyperlink"/>
            <w:color w:val="auto"/>
            <w:szCs w:val="24"/>
            <w:u w:val="none"/>
          </w:rPr>
          <w:t>https://www.dejusticia.org/publication/cortes-y-cambio-social-como-la-corte-constitucional-transformo-el-desplazamiento-forzado-en-colombia/</w:t>
        </w:r>
      </w:hyperlink>
      <w:r w:rsidR="00E679A5" w:rsidRPr="00887AF0">
        <w:rPr>
          <w:szCs w:val="24"/>
        </w:rPr>
        <w:t>. Acesso em: 03 ago. 2023.</w:t>
      </w:r>
    </w:p>
    <w:p w:rsidR="006D6979" w:rsidRPr="00887AF0" w:rsidRDefault="006D6979">
      <w:pPr>
        <w:rPr>
          <w:szCs w:val="24"/>
        </w:rPr>
      </w:pPr>
      <w:r w:rsidRPr="00887AF0">
        <w:rPr>
          <w:szCs w:val="24"/>
        </w:rPr>
        <w:t xml:space="preserve">HERNÁNDEZ, Clara </w:t>
      </w:r>
      <w:proofErr w:type="spellStart"/>
      <w:r w:rsidRPr="00887AF0">
        <w:rPr>
          <w:szCs w:val="24"/>
        </w:rPr>
        <w:t>Inés</w:t>
      </w:r>
      <w:proofErr w:type="spellEnd"/>
      <w:r w:rsidRPr="00887AF0">
        <w:rPr>
          <w:szCs w:val="24"/>
        </w:rPr>
        <w:t xml:space="preserve"> Vargas. </w:t>
      </w:r>
      <w:r w:rsidRPr="00887AF0">
        <w:rPr>
          <w:b/>
          <w:szCs w:val="24"/>
        </w:rPr>
        <w:t xml:space="preserve">La </w:t>
      </w:r>
      <w:proofErr w:type="spellStart"/>
      <w:r w:rsidRPr="00887AF0">
        <w:rPr>
          <w:b/>
          <w:szCs w:val="24"/>
        </w:rPr>
        <w:t>Garantía</w:t>
      </w:r>
      <w:proofErr w:type="spellEnd"/>
      <w:r w:rsidRPr="00887AF0">
        <w:rPr>
          <w:b/>
          <w:szCs w:val="24"/>
        </w:rPr>
        <w:t xml:space="preserve"> de </w:t>
      </w:r>
      <w:proofErr w:type="spellStart"/>
      <w:r w:rsidRPr="00887AF0">
        <w:rPr>
          <w:b/>
          <w:szCs w:val="24"/>
        </w:rPr>
        <w:t>la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dimensión</w:t>
      </w:r>
      <w:proofErr w:type="spellEnd"/>
      <w:r w:rsidRPr="00887AF0">
        <w:rPr>
          <w:b/>
          <w:szCs w:val="24"/>
        </w:rPr>
        <w:t xml:space="preserve"> objetiva de </w:t>
      </w:r>
      <w:proofErr w:type="spellStart"/>
      <w:r w:rsidRPr="00887AF0">
        <w:rPr>
          <w:b/>
          <w:szCs w:val="24"/>
        </w:rPr>
        <w:t>los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derechos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fundamentales</w:t>
      </w:r>
      <w:proofErr w:type="spellEnd"/>
      <w:r w:rsidRPr="00887AF0">
        <w:rPr>
          <w:b/>
          <w:szCs w:val="24"/>
        </w:rPr>
        <w:t xml:space="preserve"> y labor </w:t>
      </w:r>
      <w:proofErr w:type="spellStart"/>
      <w:r w:rsidRPr="00887AF0">
        <w:rPr>
          <w:b/>
          <w:szCs w:val="24"/>
        </w:rPr>
        <w:t>del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juez</w:t>
      </w:r>
      <w:proofErr w:type="spellEnd"/>
      <w:r w:rsidRPr="00887AF0">
        <w:rPr>
          <w:b/>
          <w:szCs w:val="24"/>
        </w:rPr>
        <w:t xml:space="preserve"> constitucional colombiano em sede de </w:t>
      </w:r>
      <w:proofErr w:type="spellStart"/>
      <w:r w:rsidRPr="00887AF0">
        <w:rPr>
          <w:b/>
          <w:szCs w:val="24"/>
        </w:rPr>
        <w:t>acción</w:t>
      </w:r>
      <w:proofErr w:type="spellEnd"/>
      <w:r w:rsidRPr="00887AF0">
        <w:rPr>
          <w:b/>
          <w:szCs w:val="24"/>
        </w:rPr>
        <w:t xml:space="preserve"> de tutela: </w:t>
      </w:r>
      <w:proofErr w:type="spellStart"/>
      <w:r w:rsidRPr="00887AF0">
        <w:rPr>
          <w:b/>
          <w:szCs w:val="24"/>
        </w:rPr>
        <w:t>el</w:t>
      </w:r>
      <w:proofErr w:type="spellEnd"/>
      <w:r w:rsidRPr="00887AF0">
        <w:rPr>
          <w:b/>
          <w:szCs w:val="24"/>
        </w:rPr>
        <w:t xml:space="preserve"> </w:t>
      </w:r>
      <w:proofErr w:type="spellStart"/>
      <w:r w:rsidRPr="00887AF0">
        <w:rPr>
          <w:b/>
          <w:szCs w:val="24"/>
        </w:rPr>
        <w:t>llamado</w:t>
      </w:r>
      <w:proofErr w:type="spellEnd"/>
      <w:r w:rsidRPr="00887AF0">
        <w:rPr>
          <w:b/>
          <w:szCs w:val="24"/>
        </w:rPr>
        <w:t xml:space="preserve"> “estado de cosas inconstitucional”</w:t>
      </w:r>
      <w:r w:rsidRPr="00887AF0">
        <w:rPr>
          <w:szCs w:val="24"/>
        </w:rPr>
        <w:t>.</w:t>
      </w:r>
      <w:r w:rsidR="003D5088" w:rsidRPr="00887AF0">
        <w:rPr>
          <w:szCs w:val="24"/>
        </w:rPr>
        <w:t xml:space="preserve"> </w:t>
      </w:r>
      <w:proofErr w:type="spellStart"/>
      <w:r w:rsidR="003D5088" w:rsidRPr="00887AF0">
        <w:rPr>
          <w:szCs w:val="24"/>
        </w:rPr>
        <w:t>Estudios</w:t>
      </w:r>
      <w:proofErr w:type="spellEnd"/>
      <w:r w:rsidR="003D5088" w:rsidRPr="00887AF0">
        <w:rPr>
          <w:szCs w:val="24"/>
        </w:rPr>
        <w:t xml:space="preserve"> </w:t>
      </w:r>
      <w:proofErr w:type="spellStart"/>
      <w:r w:rsidR="003D5088" w:rsidRPr="00887AF0">
        <w:rPr>
          <w:szCs w:val="24"/>
        </w:rPr>
        <w:t>Constitucionales</w:t>
      </w:r>
      <w:proofErr w:type="spellEnd"/>
      <w:r w:rsidR="003D5088" w:rsidRPr="00887AF0">
        <w:rPr>
          <w:szCs w:val="24"/>
        </w:rPr>
        <w:t xml:space="preserve">, Santiago, </w:t>
      </w:r>
      <w:proofErr w:type="spellStart"/>
      <w:r w:rsidR="003D5088" w:rsidRPr="00887AF0">
        <w:rPr>
          <w:szCs w:val="24"/>
        </w:rPr>
        <w:t>vol</w:t>
      </w:r>
      <w:proofErr w:type="spellEnd"/>
      <w:r w:rsidR="003D5088" w:rsidRPr="00887AF0">
        <w:rPr>
          <w:szCs w:val="24"/>
        </w:rPr>
        <w:t xml:space="preserve"> 1, </w:t>
      </w:r>
      <w:proofErr w:type="spellStart"/>
      <w:r w:rsidR="003D5088" w:rsidRPr="00887AF0">
        <w:rPr>
          <w:szCs w:val="24"/>
        </w:rPr>
        <w:t>núm</w:t>
      </w:r>
      <w:proofErr w:type="spellEnd"/>
      <w:r w:rsidR="003D5088" w:rsidRPr="00887AF0">
        <w:rPr>
          <w:szCs w:val="24"/>
        </w:rPr>
        <w:t xml:space="preserve"> 1, 2003. Disponível em: </w:t>
      </w:r>
      <w:hyperlink r:id="rId13" w:history="1">
        <w:r w:rsidR="003D5088" w:rsidRPr="00887AF0">
          <w:rPr>
            <w:rStyle w:val="Hyperlink"/>
            <w:color w:val="auto"/>
            <w:szCs w:val="24"/>
            <w:u w:val="none"/>
          </w:rPr>
          <w:t>https://www.redalyc.org/articulo.oa?id=82010111</w:t>
        </w:r>
      </w:hyperlink>
      <w:r w:rsidR="003D5088" w:rsidRPr="00887AF0">
        <w:rPr>
          <w:szCs w:val="24"/>
        </w:rPr>
        <w:t>. Acesso em: 03 ago. 2023.</w:t>
      </w:r>
    </w:p>
    <w:p w:rsidR="009A0366" w:rsidRPr="00887AF0" w:rsidRDefault="009A0366">
      <w:pPr>
        <w:rPr>
          <w:szCs w:val="24"/>
        </w:rPr>
      </w:pPr>
      <w:r w:rsidRPr="00887AF0">
        <w:rPr>
          <w:szCs w:val="24"/>
        </w:rPr>
        <w:t xml:space="preserve">INSTITUTO DE PESQUISA ECONOMICA APLICADA (IPEA). </w:t>
      </w:r>
      <w:r w:rsidRPr="00887AF0">
        <w:rPr>
          <w:b/>
          <w:szCs w:val="24"/>
        </w:rPr>
        <w:t>A Aplicação de Penas e Medidas Alternativas</w:t>
      </w:r>
      <w:r w:rsidR="00A936E5" w:rsidRPr="00887AF0">
        <w:rPr>
          <w:szCs w:val="24"/>
        </w:rPr>
        <w:t>. 2014</w:t>
      </w:r>
      <w:r w:rsidRPr="00887AF0">
        <w:rPr>
          <w:szCs w:val="24"/>
        </w:rPr>
        <w:t xml:space="preserve">. Disponível em: </w:t>
      </w:r>
      <w:hyperlink r:id="rId14" w:history="1">
        <w:r w:rsidRPr="00887AF0">
          <w:rPr>
            <w:rStyle w:val="Hyperlink"/>
            <w:color w:val="auto"/>
            <w:szCs w:val="24"/>
            <w:u w:val="none"/>
          </w:rPr>
          <w:t>https://redir.stf.jus.br/paginadorpub/paginador.jsp?docTP=TP&amp;docID=8589060&amp;prcID=4783560#</w:t>
        </w:r>
      </w:hyperlink>
      <w:r w:rsidRPr="00887AF0">
        <w:rPr>
          <w:szCs w:val="24"/>
        </w:rPr>
        <w:t>. Acesso em: 14 ago. 2023.</w:t>
      </w:r>
    </w:p>
    <w:p w:rsidR="003048FF" w:rsidRPr="00887AF0" w:rsidRDefault="003048FF">
      <w:pPr>
        <w:rPr>
          <w:szCs w:val="24"/>
        </w:rPr>
      </w:pPr>
      <w:r w:rsidRPr="00887AF0">
        <w:rPr>
          <w:szCs w:val="24"/>
        </w:rPr>
        <w:t xml:space="preserve">MARQUES, Andreo Aleksandro Nobre. </w:t>
      </w:r>
      <w:r w:rsidR="000D108F" w:rsidRPr="00887AF0">
        <w:rPr>
          <w:b/>
          <w:szCs w:val="24"/>
        </w:rPr>
        <w:t>O nascimento do controle de constitucionalidade judicial.</w:t>
      </w:r>
      <w:r w:rsidR="0022286D" w:rsidRPr="00887AF0">
        <w:rPr>
          <w:szCs w:val="24"/>
        </w:rPr>
        <w:t xml:space="preserve"> Brasília, a. 47, n. 185, </w:t>
      </w:r>
      <w:proofErr w:type="spellStart"/>
      <w:r w:rsidR="009C6C8C" w:rsidRPr="00887AF0">
        <w:rPr>
          <w:szCs w:val="24"/>
        </w:rPr>
        <w:t>jan</w:t>
      </w:r>
      <w:proofErr w:type="spellEnd"/>
      <w:r w:rsidR="009C6C8C" w:rsidRPr="00887AF0">
        <w:rPr>
          <w:szCs w:val="24"/>
        </w:rPr>
        <w:t>/</w:t>
      </w:r>
      <w:r w:rsidR="0022286D" w:rsidRPr="00887AF0">
        <w:rPr>
          <w:szCs w:val="24"/>
        </w:rPr>
        <w:t>mar 2010.</w:t>
      </w:r>
      <w:r w:rsidR="006D0D53" w:rsidRPr="00887AF0">
        <w:rPr>
          <w:szCs w:val="24"/>
        </w:rPr>
        <w:t xml:space="preserve"> Disponível em: https://www2.senado.leg.br/bdsf/bitstream/handle/id/198660/000881206.pdf?sequence=1&amp;isAllowed=y. Acesso em: 11 ago. 2023.</w:t>
      </w:r>
    </w:p>
    <w:p w:rsidR="00395E38" w:rsidRPr="00887AF0" w:rsidRDefault="00395E38">
      <w:pPr>
        <w:rPr>
          <w:szCs w:val="24"/>
        </w:rPr>
      </w:pPr>
      <w:r w:rsidRPr="00887AF0">
        <w:rPr>
          <w:szCs w:val="24"/>
        </w:rPr>
        <w:t xml:space="preserve">MEDEIROS, </w:t>
      </w:r>
      <w:proofErr w:type="spellStart"/>
      <w:r w:rsidRPr="00887AF0">
        <w:rPr>
          <w:szCs w:val="24"/>
        </w:rPr>
        <w:t>Orione</w:t>
      </w:r>
      <w:proofErr w:type="spellEnd"/>
      <w:r w:rsidRPr="00887AF0">
        <w:rPr>
          <w:szCs w:val="24"/>
        </w:rPr>
        <w:t xml:space="preserve"> Dantas de. </w:t>
      </w:r>
      <w:r w:rsidRPr="00887AF0">
        <w:rPr>
          <w:b/>
          <w:szCs w:val="24"/>
        </w:rPr>
        <w:t>O controle de constitucionalidade na Constituição brasileira de 1988.</w:t>
      </w:r>
      <w:r w:rsidRPr="00887AF0">
        <w:rPr>
          <w:szCs w:val="24"/>
        </w:rPr>
        <w:t xml:space="preserve"> Revista de Informação Legislativa, ano 50, n. 200, </w:t>
      </w:r>
      <w:proofErr w:type="gramStart"/>
      <w:r w:rsidRPr="00887AF0">
        <w:rPr>
          <w:szCs w:val="24"/>
        </w:rPr>
        <w:t>out./</w:t>
      </w:r>
      <w:proofErr w:type="gramEnd"/>
      <w:r w:rsidRPr="00887AF0">
        <w:rPr>
          <w:szCs w:val="24"/>
        </w:rPr>
        <w:t>dez. 2013.</w:t>
      </w:r>
    </w:p>
    <w:p w:rsidR="00752E7A" w:rsidRPr="00887AF0" w:rsidRDefault="00752E7A">
      <w:pPr>
        <w:rPr>
          <w:szCs w:val="24"/>
        </w:rPr>
      </w:pPr>
      <w:r w:rsidRPr="00887AF0">
        <w:rPr>
          <w:szCs w:val="24"/>
        </w:rPr>
        <w:t xml:space="preserve">MORAES, Alexandre de. </w:t>
      </w:r>
      <w:r w:rsidRPr="00887AF0">
        <w:rPr>
          <w:b/>
          <w:szCs w:val="24"/>
        </w:rPr>
        <w:t xml:space="preserve">Direitos humanos fundamentais: teoria geral: comentários aos </w:t>
      </w:r>
      <w:proofErr w:type="spellStart"/>
      <w:r w:rsidRPr="00887AF0">
        <w:rPr>
          <w:b/>
          <w:szCs w:val="24"/>
        </w:rPr>
        <w:t>arts</w:t>
      </w:r>
      <w:proofErr w:type="spellEnd"/>
      <w:r w:rsidRPr="00887AF0">
        <w:rPr>
          <w:b/>
          <w:szCs w:val="24"/>
        </w:rPr>
        <w:t>. 1º a 5º da Constituição de República Federativa do Brasil: doutrina e jurisprudência.</w:t>
      </w:r>
      <w:r w:rsidRPr="00887AF0">
        <w:rPr>
          <w:szCs w:val="24"/>
        </w:rPr>
        <w:t xml:space="preserve"> São Paulo: Atlas, 2021.</w:t>
      </w:r>
    </w:p>
    <w:p w:rsidR="00582526" w:rsidRPr="00887AF0" w:rsidRDefault="00582526">
      <w:pPr>
        <w:rPr>
          <w:szCs w:val="24"/>
        </w:rPr>
      </w:pPr>
      <w:r w:rsidRPr="00887AF0">
        <w:rPr>
          <w:szCs w:val="24"/>
        </w:rPr>
        <w:t xml:space="preserve">LEVI, Primo. </w:t>
      </w:r>
      <w:r w:rsidRPr="00887AF0">
        <w:rPr>
          <w:b/>
          <w:szCs w:val="24"/>
        </w:rPr>
        <w:t>É isto um homem?</w:t>
      </w:r>
      <w:r w:rsidR="009353CE" w:rsidRPr="00887AF0">
        <w:rPr>
          <w:szCs w:val="24"/>
        </w:rPr>
        <w:t xml:space="preserve"> Tradução: Luigi Del Re. Rio de Janeiro: Rocco, 1988.</w:t>
      </w:r>
    </w:p>
    <w:sectPr w:rsidR="00582526" w:rsidRPr="00887AF0" w:rsidSect="00BB3EBB">
      <w:headerReference w:type="default" r:id="rId15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3AD2" w:rsidRDefault="00D73AD2" w:rsidP="00C13D06">
      <w:pPr>
        <w:spacing w:after="0" w:line="240" w:lineRule="auto"/>
      </w:pPr>
      <w:r>
        <w:separator/>
      </w:r>
    </w:p>
  </w:endnote>
  <w:endnote w:type="continuationSeparator" w:id="0">
    <w:p w:rsidR="00D73AD2" w:rsidRDefault="00D73AD2" w:rsidP="00C13D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3AD2" w:rsidRDefault="00D73AD2" w:rsidP="00C13D06">
      <w:pPr>
        <w:spacing w:after="0" w:line="240" w:lineRule="auto"/>
      </w:pPr>
      <w:r>
        <w:separator/>
      </w:r>
    </w:p>
  </w:footnote>
  <w:footnote w:type="continuationSeparator" w:id="0">
    <w:p w:rsidR="00D73AD2" w:rsidRDefault="00D73AD2" w:rsidP="00C13D06">
      <w:pPr>
        <w:spacing w:after="0" w:line="240" w:lineRule="auto"/>
      </w:pPr>
      <w:r>
        <w:continuationSeparator/>
      </w:r>
    </w:p>
  </w:footnote>
  <w:footnote w:id="1">
    <w:p w:rsidR="003A3BB0" w:rsidRDefault="003A3BB0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A3BB0">
        <w:t xml:space="preserve">VIVEIROS, Mauro. El </w:t>
      </w:r>
      <w:proofErr w:type="spellStart"/>
      <w:r w:rsidRPr="003A3BB0">
        <w:t>control</w:t>
      </w:r>
      <w:proofErr w:type="spellEnd"/>
      <w:r w:rsidRPr="003A3BB0">
        <w:t xml:space="preserve"> de </w:t>
      </w:r>
      <w:proofErr w:type="spellStart"/>
      <w:r w:rsidRPr="003A3BB0">
        <w:t>constitucionalidad</w:t>
      </w:r>
      <w:proofErr w:type="spellEnd"/>
      <w:r w:rsidRPr="003A3BB0">
        <w:t xml:space="preserve"> </w:t>
      </w:r>
      <w:proofErr w:type="spellStart"/>
      <w:r w:rsidRPr="003A3BB0">
        <w:t>brasileño</w:t>
      </w:r>
      <w:proofErr w:type="spellEnd"/>
      <w:r w:rsidRPr="003A3BB0">
        <w:t>: u modelo híbrido o dual. Madrid: Acadêmica espanhola, 2012.</w:t>
      </w:r>
    </w:p>
  </w:footnote>
  <w:footnote w:id="2">
    <w:p w:rsidR="008004E7" w:rsidRDefault="008004E7">
      <w:pPr>
        <w:pStyle w:val="Textodenotaderodap"/>
      </w:pPr>
      <w:r>
        <w:rPr>
          <w:rStyle w:val="Refdenotaderodap"/>
        </w:rPr>
        <w:footnoteRef/>
      </w:r>
      <w:r>
        <w:t xml:space="preserve"> Corte Constitucional, sentencia </w:t>
      </w:r>
      <w:proofErr w:type="spellStart"/>
      <w:r>
        <w:t>del</w:t>
      </w:r>
      <w:proofErr w:type="spellEnd"/>
      <w:r>
        <w:t xml:space="preserve"> 6 de </w:t>
      </w:r>
      <w:proofErr w:type="spellStart"/>
      <w:r>
        <w:t>noviembre</w:t>
      </w:r>
      <w:proofErr w:type="spellEnd"/>
      <w:r>
        <w:t xml:space="preserve"> de 1997, </w:t>
      </w:r>
      <w:proofErr w:type="spellStart"/>
      <w:r>
        <w:t>acción</w:t>
      </w:r>
      <w:proofErr w:type="spellEnd"/>
      <w:r>
        <w:t xml:space="preserve"> de tutela instaurada por </w:t>
      </w:r>
      <w:proofErr w:type="spellStart"/>
      <w:r>
        <w:t>Délfida</w:t>
      </w:r>
      <w:proofErr w:type="spellEnd"/>
      <w:r>
        <w:t xml:space="preserve"> </w:t>
      </w:r>
      <w:proofErr w:type="spellStart"/>
      <w:r>
        <w:t>Carrascasl</w:t>
      </w:r>
      <w:proofErr w:type="spellEnd"/>
      <w:r>
        <w:t xml:space="preserve"> Sandoval y </w:t>
      </w:r>
      <w:proofErr w:type="spellStart"/>
      <w:r>
        <w:t>otros</w:t>
      </w:r>
      <w:proofErr w:type="spellEnd"/>
      <w:r>
        <w:t xml:space="preserve"> contra </w:t>
      </w:r>
      <w:proofErr w:type="spellStart"/>
      <w:r>
        <w:t>los</w:t>
      </w:r>
      <w:proofErr w:type="spellEnd"/>
      <w:r>
        <w:t xml:space="preserve"> </w:t>
      </w:r>
      <w:proofErr w:type="spellStart"/>
      <w:r>
        <w:t>Municipios</w:t>
      </w:r>
      <w:proofErr w:type="spellEnd"/>
      <w:r>
        <w:t xml:space="preserve"> de </w:t>
      </w:r>
      <w:proofErr w:type="spellStart"/>
      <w:r>
        <w:t>María</w:t>
      </w:r>
      <w:proofErr w:type="spellEnd"/>
      <w:r>
        <w:t xml:space="preserve"> La Baja y </w:t>
      </w:r>
      <w:proofErr w:type="spellStart"/>
      <w:r>
        <w:t>Zambrano</w:t>
      </w:r>
      <w:proofErr w:type="spellEnd"/>
      <w:r>
        <w:t xml:space="preserve"> (Bolívar). M. P. Eduardo </w:t>
      </w:r>
      <w:proofErr w:type="spellStart"/>
      <w:r>
        <w:t>Cifuentes</w:t>
      </w:r>
      <w:proofErr w:type="spellEnd"/>
      <w:r>
        <w:t xml:space="preserve"> </w:t>
      </w:r>
      <w:proofErr w:type="spellStart"/>
      <w:r>
        <w:t>Muñoz</w:t>
      </w:r>
      <w:proofErr w:type="spellEnd"/>
      <w:r>
        <w:t>.</w:t>
      </w:r>
    </w:p>
  </w:footnote>
  <w:footnote w:id="3">
    <w:p w:rsidR="002963D9" w:rsidRDefault="002963D9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proofErr w:type="gramStart"/>
      <w:r w:rsidRPr="006F0A37">
        <w:rPr>
          <w:i/>
        </w:rPr>
        <w:t>ibidem</w:t>
      </w:r>
      <w:proofErr w:type="gramEnd"/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3D06" w:rsidRDefault="00C13D06">
    <w:pPr>
      <w:pStyle w:val="Cabealho"/>
      <w:jc w:val="right"/>
    </w:pPr>
  </w:p>
  <w:p w:rsidR="00C13D06" w:rsidRDefault="00C13D06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00632441"/>
      <w:docPartObj>
        <w:docPartGallery w:val="Page Numbers (Top of Page)"/>
        <w:docPartUnique/>
      </w:docPartObj>
    </w:sdtPr>
    <w:sdtContent>
      <w:p w:rsidR="00BB3EBB" w:rsidRDefault="00BB3EBB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43C">
          <w:rPr>
            <w:noProof/>
          </w:rPr>
          <w:t>3</w:t>
        </w:r>
        <w:r>
          <w:fldChar w:fldCharType="end"/>
        </w:r>
      </w:p>
    </w:sdtContent>
  </w:sdt>
  <w:p w:rsidR="00BB3EBB" w:rsidRDefault="00BB3EB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3358A8"/>
    <w:multiLevelType w:val="hybridMultilevel"/>
    <w:tmpl w:val="D98EB76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9A11CF9"/>
    <w:multiLevelType w:val="hybridMultilevel"/>
    <w:tmpl w:val="7990E4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ED6360"/>
    <w:multiLevelType w:val="hybridMultilevel"/>
    <w:tmpl w:val="400EEE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FAA2319"/>
    <w:multiLevelType w:val="hybridMultilevel"/>
    <w:tmpl w:val="50740B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5BC"/>
    <w:rsid w:val="00001FB9"/>
    <w:rsid w:val="00004F59"/>
    <w:rsid w:val="0001395D"/>
    <w:rsid w:val="00016CA9"/>
    <w:rsid w:val="00024FA3"/>
    <w:rsid w:val="00036DD7"/>
    <w:rsid w:val="000370F5"/>
    <w:rsid w:val="000404AA"/>
    <w:rsid w:val="000524ED"/>
    <w:rsid w:val="00071F87"/>
    <w:rsid w:val="00075A3A"/>
    <w:rsid w:val="00085724"/>
    <w:rsid w:val="000870FE"/>
    <w:rsid w:val="00093AA1"/>
    <w:rsid w:val="00095E10"/>
    <w:rsid w:val="00097E7B"/>
    <w:rsid w:val="000B253D"/>
    <w:rsid w:val="000D108F"/>
    <w:rsid w:val="000D1F8C"/>
    <w:rsid w:val="000D513B"/>
    <w:rsid w:val="000E34D8"/>
    <w:rsid w:val="000F0843"/>
    <w:rsid w:val="000F52F6"/>
    <w:rsid w:val="00106F4B"/>
    <w:rsid w:val="0012376F"/>
    <w:rsid w:val="00123A94"/>
    <w:rsid w:val="00146894"/>
    <w:rsid w:val="00164191"/>
    <w:rsid w:val="00167286"/>
    <w:rsid w:val="001907F4"/>
    <w:rsid w:val="001B7C66"/>
    <w:rsid w:val="001C0853"/>
    <w:rsid w:val="001C0DC9"/>
    <w:rsid w:val="001C1112"/>
    <w:rsid w:val="001C3368"/>
    <w:rsid w:val="001D3769"/>
    <w:rsid w:val="001E0426"/>
    <w:rsid w:val="001E60D6"/>
    <w:rsid w:val="001F61A1"/>
    <w:rsid w:val="0021222A"/>
    <w:rsid w:val="0022286D"/>
    <w:rsid w:val="0022711C"/>
    <w:rsid w:val="00245771"/>
    <w:rsid w:val="002465BC"/>
    <w:rsid w:val="00246AAA"/>
    <w:rsid w:val="00256DB6"/>
    <w:rsid w:val="002614AB"/>
    <w:rsid w:val="00264848"/>
    <w:rsid w:val="00270340"/>
    <w:rsid w:val="0027317F"/>
    <w:rsid w:val="002963D9"/>
    <w:rsid w:val="002B049A"/>
    <w:rsid w:val="002B6159"/>
    <w:rsid w:val="002B6368"/>
    <w:rsid w:val="002C7FB3"/>
    <w:rsid w:val="002D1952"/>
    <w:rsid w:val="002D56B4"/>
    <w:rsid w:val="002E2F7E"/>
    <w:rsid w:val="002E7EBE"/>
    <w:rsid w:val="002F4025"/>
    <w:rsid w:val="003010C2"/>
    <w:rsid w:val="003048FF"/>
    <w:rsid w:val="003120B8"/>
    <w:rsid w:val="00316686"/>
    <w:rsid w:val="00333597"/>
    <w:rsid w:val="00336A06"/>
    <w:rsid w:val="00350872"/>
    <w:rsid w:val="0037145B"/>
    <w:rsid w:val="00377D9C"/>
    <w:rsid w:val="0038148A"/>
    <w:rsid w:val="00395E38"/>
    <w:rsid w:val="003A3BB0"/>
    <w:rsid w:val="003B4F48"/>
    <w:rsid w:val="003C0AE8"/>
    <w:rsid w:val="003C26AD"/>
    <w:rsid w:val="003D4D1D"/>
    <w:rsid w:val="003D5088"/>
    <w:rsid w:val="003F6225"/>
    <w:rsid w:val="00401841"/>
    <w:rsid w:val="00406EC2"/>
    <w:rsid w:val="00407592"/>
    <w:rsid w:val="004079F0"/>
    <w:rsid w:val="004111DC"/>
    <w:rsid w:val="004435F5"/>
    <w:rsid w:val="004843EC"/>
    <w:rsid w:val="00493DD3"/>
    <w:rsid w:val="004B1C04"/>
    <w:rsid w:val="004E4462"/>
    <w:rsid w:val="004F1BCC"/>
    <w:rsid w:val="005215DB"/>
    <w:rsid w:val="00537BB4"/>
    <w:rsid w:val="00540ECC"/>
    <w:rsid w:val="00545786"/>
    <w:rsid w:val="00566C48"/>
    <w:rsid w:val="00570C45"/>
    <w:rsid w:val="00581F47"/>
    <w:rsid w:val="00582526"/>
    <w:rsid w:val="005B5F52"/>
    <w:rsid w:val="005C35D0"/>
    <w:rsid w:val="005C5947"/>
    <w:rsid w:val="005C66CB"/>
    <w:rsid w:val="005D678C"/>
    <w:rsid w:val="005E0CC7"/>
    <w:rsid w:val="005E2AB6"/>
    <w:rsid w:val="005F31B0"/>
    <w:rsid w:val="00601891"/>
    <w:rsid w:val="00604E27"/>
    <w:rsid w:val="00621515"/>
    <w:rsid w:val="0063668C"/>
    <w:rsid w:val="00637554"/>
    <w:rsid w:val="006419D9"/>
    <w:rsid w:val="0064596B"/>
    <w:rsid w:val="00647EC9"/>
    <w:rsid w:val="00657E06"/>
    <w:rsid w:val="006626AE"/>
    <w:rsid w:val="0068250A"/>
    <w:rsid w:val="00684CF8"/>
    <w:rsid w:val="006A044C"/>
    <w:rsid w:val="006A549D"/>
    <w:rsid w:val="006A6BE6"/>
    <w:rsid w:val="006B2C36"/>
    <w:rsid w:val="006D0D53"/>
    <w:rsid w:val="006D5BBF"/>
    <w:rsid w:val="006D6979"/>
    <w:rsid w:val="006E40C4"/>
    <w:rsid w:val="006F0A37"/>
    <w:rsid w:val="00712D18"/>
    <w:rsid w:val="007319CF"/>
    <w:rsid w:val="007372D1"/>
    <w:rsid w:val="00743C92"/>
    <w:rsid w:val="00750C8E"/>
    <w:rsid w:val="00752E7A"/>
    <w:rsid w:val="0076596C"/>
    <w:rsid w:val="00771C50"/>
    <w:rsid w:val="00773FDD"/>
    <w:rsid w:val="0078404E"/>
    <w:rsid w:val="00787F66"/>
    <w:rsid w:val="0079638B"/>
    <w:rsid w:val="007A1661"/>
    <w:rsid w:val="007A6E38"/>
    <w:rsid w:val="007B245D"/>
    <w:rsid w:val="007B699E"/>
    <w:rsid w:val="007D05B4"/>
    <w:rsid w:val="007D3CF2"/>
    <w:rsid w:val="007D6271"/>
    <w:rsid w:val="007D6E00"/>
    <w:rsid w:val="008004E7"/>
    <w:rsid w:val="00800953"/>
    <w:rsid w:val="00800BA8"/>
    <w:rsid w:val="00806DCA"/>
    <w:rsid w:val="00820DF5"/>
    <w:rsid w:val="0082753D"/>
    <w:rsid w:val="00830134"/>
    <w:rsid w:val="00831427"/>
    <w:rsid w:val="00842D83"/>
    <w:rsid w:val="00852BA2"/>
    <w:rsid w:val="008649D9"/>
    <w:rsid w:val="00867644"/>
    <w:rsid w:val="00874FA7"/>
    <w:rsid w:val="00887AF0"/>
    <w:rsid w:val="00893CA8"/>
    <w:rsid w:val="008940E8"/>
    <w:rsid w:val="008A094E"/>
    <w:rsid w:val="008A1FEC"/>
    <w:rsid w:val="008A5DCD"/>
    <w:rsid w:val="008A7FDD"/>
    <w:rsid w:val="008B55B8"/>
    <w:rsid w:val="008C297D"/>
    <w:rsid w:val="008C55E4"/>
    <w:rsid w:val="008E059A"/>
    <w:rsid w:val="008E28AA"/>
    <w:rsid w:val="008F48B7"/>
    <w:rsid w:val="00900C25"/>
    <w:rsid w:val="009134AC"/>
    <w:rsid w:val="009143D3"/>
    <w:rsid w:val="0091576C"/>
    <w:rsid w:val="0091630D"/>
    <w:rsid w:val="00922F78"/>
    <w:rsid w:val="00925575"/>
    <w:rsid w:val="009353CE"/>
    <w:rsid w:val="0094465D"/>
    <w:rsid w:val="00946C94"/>
    <w:rsid w:val="00956778"/>
    <w:rsid w:val="009621B7"/>
    <w:rsid w:val="00976FD6"/>
    <w:rsid w:val="00977F5B"/>
    <w:rsid w:val="00977F7E"/>
    <w:rsid w:val="00980F7D"/>
    <w:rsid w:val="00987074"/>
    <w:rsid w:val="009A0366"/>
    <w:rsid w:val="009A151E"/>
    <w:rsid w:val="009B0374"/>
    <w:rsid w:val="009C6C8C"/>
    <w:rsid w:val="009D6225"/>
    <w:rsid w:val="009E1444"/>
    <w:rsid w:val="009E1958"/>
    <w:rsid w:val="00A00820"/>
    <w:rsid w:val="00A0771D"/>
    <w:rsid w:val="00A1643D"/>
    <w:rsid w:val="00A179FE"/>
    <w:rsid w:val="00A21A29"/>
    <w:rsid w:val="00A26EF3"/>
    <w:rsid w:val="00A62F50"/>
    <w:rsid w:val="00A67C4B"/>
    <w:rsid w:val="00A80768"/>
    <w:rsid w:val="00A867D4"/>
    <w:rsid w:val="00A936E5"/>
    <w:rsid w:val="00AA1912"/>
    <w:rsid w:val="00AA58FF"/>
    <w:rsid w:val="00AB0DE8"/>
    <w:rsid w:val="00AB7A7E"/>
    <w:rsid w:val="00AD62AF"/>
    <w:rsid w:val="00AE0F5E"/>
    <w:rsid w:val="00AF41E2"/>
    <w:rsid w:val="00AF554E"/>
    <w:rsid w:val="00B0268C"/>
    <w:rsid w:val="00B130D9"/>
    <w:rsid w:val="00B22682"/>
    <w:rsid w:val="00B314F7"/>
    <w:rsid w:val="00B44D87"/>
    <w:rsid w:val="00B5165D"/>
    <w:rsid w:val="00B56F26"/>
    <w:rsid w:val="00B627AE"/>
    <w:rsid w:val="00B75398"/>
    <w:rsid w:val="00B75828"/>
    <w:rsid w:val="00B75A28"/>
    <w:rsid w:val="00B80BBE"/>
    <w:rsid w:val="00B81DCD"/>
    <w:rsid w:val="00B8609D"/>
    <w:rsid w:val="00B97339"/>
    <w:rsid w:val="00BB3271"/>
    <w:rsid w:val="00BB3513"/>
    <w:rsid w:val="00BB3EBB"/>
    <w:rsid w:val="00BC1C05"/>
    <w:rsid w:val="00BD01A0"/>
    <w:rsid w:val="00BE26CE"/>
    <w:rsid w:val="00BF5BBD"/>
    <w:rsid w:val="00BF735D"/>
    <w:rsid w:val="00C0436C"/>
    <w:rsid w:val="00C13D06"/>
    <w:rsid w:val="00C26357"/>
    <w:rsid w:val="00C364D2"/>
    <w:rsid w:val="00C44CC2"/>
    <w:rsid w:val="00C456F3"/>
    <w:rsid w:val="00C53CEC"/>
    <w:rsid w:val="00C64820"/>
    <w:rsid w:val="00C6729C"/>
    <w:rsid w:val="00C87632"/>
    <w:rsid w:val="00C9015A"/>
    <w:rsid w:val="00CA0CF3"/>
    <w:rsid w:val="00CA1B6A"/>
    <w:rsid w:val="00CB4682"/>
    <w:rsid w:val="00CE5679"/>
    <w:rsid w:val="00CE7258"/>
    <w:rsid w:val="00CF3F7E"/>
    <w:rsid w:val="00D02DF5"/>
    <w:rsid w:val="00D1238F"/>
    <w:rsid w:val="00D20829"/>
    <w:rsid w:val="00D31994"/>
    <w:rsid w:val="00D34EB7"/>
    <w:rsid w:val="00D53E91"/>
    <w:rsid w:val="00D634EC"/>
    <w:rsid w:val="00D663B9"/>
    <w:rsid w:val="00D67F2B"/>
    <w:rsid w:val="00D718B7"/>
    <w:rsid w:val="00D73AD2"/>
    <w:rsid w:val="00D758C7"/>
    <w:rsid w:val="00D91507"/>
    <w:rsid w:val="00D91DD5"/>
    <w:rsid w:val="00DA4404"/>
    <w:rsid w:val="00DB5F85"/>
    <w:rsid w:val="00DC76E3"/>
    <w:rsid w:val="00DD1E73"/>
    <w:rsid w:val="00DE425E"/>
    <w:rsid w:val="00DF6BE2"/>
    <w:rsid w:val="00E41F66"/>
    <w:rsid w:val="00E51CC9"/>
    <w:rsid w:val="00E679A5"/>
    <w:rsid w:val="00E819F1"/>
    <w:rsid w:val="00E82CB9"/>
    <w:rsid w:val="00E920A8"/>
    <w:rsid w:val="00E92600"/>
    <w:rsid w:val="00E972B6"/>
    <w:rsid w:val="00E973C7"/>
    <w:rsid w:val="00EA243C"/>
    <w:rsid w:val="00EB731D"/>
    <w:rsid w:val="00EC24F4"/>
    <w:rsid w:val="00EC7CD6"/>
    <w:rsid w:val="00EE0486"/>
    <w:rsid w:val="00EE3BF2"/>
    <w:rsid w:val="00EF6212"/>
    <w:rsid w:val="00F01924"/>
    <w:rsid w:val="00F12145"/>
    <w:rsid w:val="00F159F5"/>
    <w:rsid w:val="00F1751A"/>
    <w:rsid w:val="00F312D2"/>
    <w:rsid w:val="00F360B8"/>
    <w:rsid w:val="00F4664E"/>
    <w:rsid w:val="00F510A2"/>
    <w:rsid w:val="00F56388"/>
    <w:rsid w:val="00F72C64"/>
    <w:rsid w:val="00F76398"/>
    <w:rsid w:val="00F81289"/>
    <w:rsid w:val="00F85C68"/>
    <w:rsid w:val="00F9389F"/>
    <w:rsid w:val="00F96440"/>
    <w:rsid w:val="00FA3210"/>
    <w:rsid w:val="00FA4A8B"/>
    <w:rsid w:val="00FB53DC"/>
    <w:rsid w:val="00FB652D"/>
    <w:rsid w:val="00FC3D8A"/>
    <w:rsid w:val="00FC6B0D"/>
    <w:rsid w:val="00FE3AAD"/>
    <w:rsid w:val="00FE7F9A"/>
    <w:rsid w:val="00FF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7780F"/>
  <w15:chartTrackingRefBased/>
  <w15:docId w15:val="{A01E5D4F-8DA6-450D-8DE1-940D2D80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77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72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465BC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980F7D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77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C6729C"/>
    <w:pPr>
      <w:spacing w:line="259" w:lineRule="auto"/>
      <w:jc w:val="left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6729C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F72C6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9E1444"/>
    <w:pPr>
      <w:spacing w:after="100"/>
      <w:ind w:left="240"/>
    </w:pPr>
  </w:style>
  <w:style w:type="paragraph" w:styleId="Cabealho">
    <w:name w:val="header"/>
    <w:basedOn w:val="Normal"/>
    <w:link w:val="CabealhoChar"/>
    <w:uiPriority w:val="99"/>
    <w:unhideWhenUsed/>
    <w:rsid w:val="00C13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13D06"/>
  </w:style>
  <w:style w:type="paragraph" w:styleId="Rodap">
    <w:name w:val="footer"/>
    <w:basedOn w:val="Normal"/>
    <w:link w:val="RodapChar"/>
    <w:uiPriority w:val="99"/>
    <w:unhideWhenUsed/>
    <w:rsid w:val="00C13D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13D06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A6E38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A6E38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7A6E3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redalyc.org/articulo.oa?id=820101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dejusticia.org/publication/cortes-y-cambio-social-como-la-corte-constitucional-transformo-el-desplazamiento-forzado-en-colombia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dir.stf.jus.br/paginadorpub/paginador.jsp?docTP=TP&amp;docID=8589058&amp;prcID=4783560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onjur.com.br/2015-set-01/carlos-campos-estado-coisas-inconstitucional-litigio-estrutur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dir.stf.jus.br/paginadorpub/paginador.jsp?docTP=TP&amp;docID=8589056&amp;prcID=4783560" TargetMode="External"/><Relationship Id="rId14" Type="http://schemas.openxmlformats.org/officeDocument/2006/relationships/hyperlink" Target="https://redir.stf.jus.br/paginadorpub/paginador.jsp?docTP=TP&amp;docID=8589060&amp;prcID=4783560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.XSL" StyleName="ABNT NBR 6023:2002*" Version="10"/>
</file>

<file path=customXml/itemProps1.xml><?xml version="1.0" encoding="utf-8"?>
<ds:datastoreItem xmlns:ds="http://schemas.openxmlformats.org/officeDocument/2006/customXml" ds:itemID="{BAF54BCC-8536-4F83-932A-E846705F2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2188</TotalTime>
  <Pages>1</Pages>
  <Words>3467</Words>
  <Characters>18722</Characters>
  <Application>Microsoft Office Word</Application>
  <DocSecurity>0</DocSecurity>
  <Lines>156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da Silva Lino</dc:creator>
  <cp:keywords/>
  <dc:description/>
  <cp:lastModifiedBy>Tobias da Silva Lino</cp:lastModifiedBy>
  <cp:revision>314</cp:revision>
  <cp:lastPrinted>2023-10-11T23:12:00Z</cp:lastPrinted>
  <dcterms:created xsi:type="dcterms:W3CDTF">2023-08-03T18:17:00Z</dcterms:created>
  <dcterms:modified xsi:type="dcterms:W3CDTF">2023-10-11T23:14:00Z</dcterms:modified>
</cp:coreProperties>
</file>