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4D2" w:rsidRDefault="00C364D2">
      <w:r>
        <w:t>NOTAS</w:t>
      </w:r>
    </w:p>
    <w:p w:rsidR="00980F7D" w:rsidRDefault="00980F7D" w:rsidP="00980F7D">
      <w:pPr>
        <w:pStyle w:val="PargrafodaLista"/>
        <w:numPr>
          <w:ilvl w:val="0"/>
          <w:numId w:val="1"/>
        </w:numPr>
      </w:pPr>
      <w:r>
        <w:t>Falar sobre o STF</w:t>
      </w:r>
    </w:p>
    <w:p w:rsidR="003010C2" w:rsidRDefault="003010C2" w:rsidP="003010C2">
      <w:pPr>
        <w:pStyle w:val="PargrafodaLista"/>
        <w:numPr>
          <w:ilvl w:val="1"/>
          <w:numId w:val="1"/>
        </w:numPr>
      </w:pPr>
      <w:r>
        <w:t>Poder constituinte</w:t>
      </w:r>
    </w:p>
    <w:p w:rsidR="00980F7D" w:rsidRDefault="00980F7D" w:rsidP="00980F7D">
      <w:pPr>
        <w:pStyle w:val="PargrafodaLista"/>
        <w:numPr>
          <w:ilvl w:val="0"/>
          <w:numId w:val="1"/>
        </w:numPr>
      </w:pPr>
      <w:r>
        <w:t>O que é o estado de coisas inconstitucional</w:t>
      </w:r>
    </w:p>
    <w:p w:rsidR="008A5DCD" w:rsidRDefault="00980F7D" w:rsidP="008A5DCD">
      <w:pPr>
        <w:pStyle w:val="PargrafodaLista"/>
        <w:numPr>
          <w:ilvl w:val="0"/>
          <w:numId w:val="1"/>
        </w:numPr>
      </w:pPr>
      <w:r>
        <w:t>O que aconteceu com o sistema prisional brasileiro</w:t>
      </w:r>
    </w:p>
    <w:p w:rsidR="00EC24F4" w:rsidRDefault="00EC24F4" w:rsidP="00EC24F4">
      <w:pPr>
        <w:pStyle w:val="PargrafodaLista"/>
        <w:numPr>
          <w:ilvl w:val="1"/>
          <w:numId w:val="1"/>
        </w:numPr>
      </w:pPr>
      <w:r>
        <w:t>Relatórios apresentados como provas de descumprimento de preceito fundamental na ADPF 347</w:t>
      </w:r>
    </w:p>
    <w:p w:rsidR="003010C2" w:rsidRDefault="003010C2" w:rsidP="003010C2">
      <w:pPr>
        <w:pStyle w:val="PargrafodaLista"/>
        <w:numPr>
          <w:ilvl w:val="0"/>
          <w:numId w:val="1"/>
        </w:numPr>
      </w:pPr>
      <w:r>
        <w:t>Ativismo constitucional</w:t>
      </w:r>
    </w:p>
    <w:p w:rsidR="00EC24F4" w:rsidRDefault="00EC24F4" w:rsidP="00EC24F4">
      <w:pPr>
        <w:pStyle w:val="PargrafodaLista"/>
        <w:numPr>
          <w:ilvl w:val="1"/>
          <w:numId w:val="1"/>
        </w:numPr>
      </w:pPr>
      <w:r>
        <w:t>Remédios constitucionais</w:t>
      </w:r>
    </w:p>
    <w:p w:rsidR="00D718B7" w:rsidRDefault="00D718B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364D2" w:rsidRDefault="00A0771D" w:rsidP="00A0771D">
      <w:pPr>
        <w:pStyle w:val="Ttulo1"/>
      </w:pPr>
      <w:r>
        <w:lastRenderedPageBreak/>
        <w:t>O que é o Estado de coisas Constitucional</w:t>
      </w:r>
    </w:p>
    <w:p w:rsidR="008C297D" w:rsidRDefault="008C297D" w:rsidP="008C297D">
      <w:pPr>
        <w:pStyle w:val="PargrafodaLista"/>
        <w:numPr>
          <w:ilvl w:val="0"/>
          <w:numId w:val="1"/>
        </w:numPr>
      </w:pPr>
      <w:r>
        <w:t>CAMPOS</w:t>
      </w:r>
    </w:p>
    <w:p w:rsidR="008C297D" w:rsidRDefault="008C297D" w:rsidP="008C297D">
      <w:pPr>
        <w:pStyle w:val="PargrafodaLista"/>
        <w:numPr>
          <w:ilvl w:val="1"/>
          <w:numId w:val="1"/>
        </w:numPr>
      </w:pPr>
      <w:r>
        <w:t xml:space="preserve">Sentencia de tutela (T) 153 de 1998 – superlotação na </w:t>
      </w:r>
      <w:proofErr w:type="spellStart"/>
      <w:r>
        <w:t>colombia</w:t>
      </w:r>
      <w:proofErr w:type="spellEnd"/>
    </w:p>
    <w:p w:rsidR="008C297D" w:rsidRDefault="008C297D" w:rsidP="008C297D">
      <w:pPr>
        <w:pStyle w:val="PargrafodaLista"/>
        <w:numPr>
          <w:ilvl w:val="2"/>
          <w:numId w:val="1"/>
        </w:numPr>
      </w:pPr>
      <w:r>
        <w:t>Não deu muito certo</w:t>
      </w:r>
    </w:p>
    <w:p w:rsidR="008C297D" w:rsidRDefault="008C297D" w:rsidP="008C297D">
      <w:pPr>
        <w:pStyle w:val="PargrafodaLista"/>
        <w:numPr>
          <w:ilvl w:val="1"/>
          <w:numId w:val="1"/>
        </w:numPr>
      </w:pPr>
      <w:r>
        <w:t xml:space="preserve">Sentencia T-025, de 2004 – deslocamento de pessoas na </w:t>
      </w:r>
      <w:proofErr w:type="spellStart"/>
      <w:r>
        <w:t>colombia</w:t>
      </w:r>
      <w:proofErr w:type="spellEnd"/>
    </w:p>
    <w:p w:rsidR="008C297D" w:rsidRDefault="008C297D" w:rsidP="008C297D">
      <w:pPr>
        <w:pStyle w:val="PargrafodaLista"/>
        <w:numPr>
          <w:ilvl w:val="2"/>
          <w:numId w:val="1"/>
        </w:numPr>
      </w:pPr>
      <w:r>
        <w:t>Atuação conjunta e manutenção da jurisdição na implementação resultaram em bons efeitos práticos</w:t>
      </w:r>
    </w:p>
    <w:p w:rsidR="008C297D" w:rsidRDefault="008C297D" w:rsidP="008C297D">
      <w:pPr>
        <w:pStyle w:val="PargrafodaLista"/>
        <w:numPr>
          <w:ilvl w:val="1"/>
          <w:numId w:val="1"/>
        </w:numPr>
      </w:pPr>
      <w:r>
        <w:t>Ordens flexíveis</w:t>
      </w:r>
    </w:p>
    <w:p w:rsidR="008C297D" w:rsidRDefault="008C297D" w:rsidP="008C297D">
      <w:pPr>
        <w:pStyle w:val="PargrafodaLista"/>
        <w:numPr>
          <w:ilvl w:val="1"/>
          <w:numId w:val="1"/>
        </w:numPr>
      </w:pPr>
      <w:r>
        <w:t>Ver GRAVITO E FRANCO, para o caso da política que deu certo</w:t>
      </w:r>
    </w:p>
    <w:p w:rsidR="008C297D" w:rsidRDefault="008C297D" w:rsidP="008C297D">
      <w:pPr>
        <w:pStyle w:val="PargrafodaLista"/>
        <w:numPr>
          <w:ilvl w:val="0"/>
          <w:numId w:val="1"/>
        </w:numPr>
      </w:pPr>
      <w:r>
        <w:t>HERNANDÉZ</w:t>
      </w:r>
    </w:p>
    <w:p w:rsidR="007372D1" w:rsidRDefault="00B81DCD" w:rsidP="00B81DCD">
      <w:r>
        <w:t>O Estado de Coisas Incons</w:t>
      </w:r>
      <w:r w:rsidR="00C9015A">
        <w:t>titucional se caracteriza por um quadro de violação de direitos humanos fundamentais de forma sistemática, massiva e permanente, onde falhas estruturais de políticas estatais e omissões institucionais são fatores centrais desse cenário (CAMPOS, 2015). É</w:t>
      </w:r>
      <w:r>
        <w:t xml:space="preserve"> uma técnica projetada pelo juiz constitucional que </w:t>
      </w:r>
      <w:r w:rsidR="009621B7">
        <w:t>visa</w:t>
      </w:r>
      <w:r>
        <w:t xml:space="preserve"> garantir a dimensão objetiva dos direitos inerentes ao ser humano (HERNÁNDEZ, 2003).</w:t>
      </w:r>
      <w:r w:rsidR="006E40C4">
        <w:t xml:space="preserve"> A Corte atua para defender o sistema de direitos fundamentais expresso na Constituição como um todo, tanto determinando</w:t>
      </w:r>
      <w:r w:rsidR="00F96440">
        <w:t xml:space="preserve">, quanto </w:t>
      </w:r>
      <w:r w:rsidR="006E40C4">
        <w:t xml:space="preserve">supervisionando ações públicas, sendo um agente de transformação social (CAMPOS, 2015). </w:t>
      </w:r>
    </w:p>
    <w:p w:rsidR="00D718B7" w:rsidRDefault="00D718B7" w:rsidP="00B81DCD">
      <w:r>
        <w:t>Origem e história -&gt; HERNÁNDEZ e CAMPOS</w:t>
      </w:r>
    </w:p>
    <w:p w:rsidR="00D718B7" w:rsidRDefault="00D718B7" w:rsidP="00B81DCD">
      <w:r>
        <w:t>Controvérsias acerca dos poderes</w:t>
      </w:r>
    </w:p>
    <w:p w:rsidR="00E92600" w:rsidRDefault="00E92600" w:rsidP="00E92600">
      <w:r>
        <w:t xml:space="preserve">Para Hernández (2003), o juiz constitucional deve usar a técnica do “estado de coisas inconstitucional” de forma razoável, se </w:t>
      </w:r>
      <w:r w:rsidR="00976FD6">
        <w:t>auto</w:t>
      </w:r>
      <w:r>
        <w:t>limitando, até certo ponto, em suas decisões,</w:t>
      </w:r>
      <w:r w:rsidR="00976FD6">
        <w:t xml:space="preserve"> </w:t>
      </w:r>
      <w:r>
        <w:t>respei</w:t>
      </w:r>
      <w:r w:rsidR="00976FD6">
        <w:t>tando</w:t>
      </w:r>
      <w:r>
        <w:t xml:space="preserve"> o princípio da separação de poderes</w:t>
      </w:r>
      <w:r w:rsidR="00976FD6">
        <w:t xml:space="preserve"> e garantindo que atendam as demandas sociais e a execução e controle de políticas públicas.</w:t>
      </w:r>
    </w:p>
    <w:p w:rsidR="00D718B7" w:rsidRDefault="00D718B7" w:rsidP="00E92600">
      <w:r>
        <w:t>Exemplos – GRAVITO e FRANCO</w:t>
      </w:r>
    </w:p>
    <w:p w:rsidR="00B97339" w:rsidRDefault="00B973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0771D" w:rsidRPr="00A0771D" w:rsidRDefault="00B97339" w:rsidP="00B97339">
      <w:pPr>
        <w:pStyle w:val="Ttulo1"/>
      </w:pPr>
      <w:r>
        <w:lastRenderedPageBreak/>
        <w:t>O que aconteceu com o sistema penitenciário brasileiro</w:t>
      </w:r>
    </w:p>
    <w:p w:rsidR="00C364D2" w:rsidRDefault="00B97339">
      <w:r>
        <w:t>ANÁLISE DOS RELATÓRIOS sobre a situação dos presídios até 2014</w:t>
      </w:r>
    </w:p>
    <w:p w:rsidR="00B97339" w:rsidRDefault="00B97339" w:rsidP="00B97339">
      <w:pPr>
        <w:pStyle w:val="PargrafodaLista"/>
        <w:numPr>
          <w:ilvl w:val="0"/>
          <w:numId w:val="2"/>
        </w:numPr>
      </w:pPr>
      <w:r>
        <w:t>Superlotação</w:t>
      </w:r>
      <w:r w:rsidR="009A0366">
        <w:t xml:space="preserve"> CNMP</w:t>
      </w:r>
    </w:p>
    <w:p w:rsidR="009A0366" w:rsidRDefault="009A0366" w:rsidP="00B97339">
      <w:pPr>
        <w:pStyle w:val="PargrafodaLista"/>
        <w:numPr>
          <w:ilvl w:val="0"/>
          <w:numId w:val="2"/>
        </w:numPr>
      </w:pPr>
      <w:r>
        <w:t>Dados CNJ</w:t>
      </w:r>
    </w:p>
    <w:p w:rsidR="00B97339" w:rsidRDefault="00B97339" w:rsidP="00B97339">
      <w:pPr>
        <w:pStyle w:val="PargrafodaLista"/>
        <w:numPr>
          <w:ilvl w:val="0"/>
          <w:numId w:val="2"/>
        </w:numPr>
      </w:pPr>
      <w:r>
        <w:t>Violação dos direitos dos presos</w:t>
      </w:r>
      <w:r w:rsidR="009A0366">
        <w:t xml:space="preserve"> CPI</w:t>
      </w:r>
    </w:p>
    <w:p w:rsidR="00B97339" w:rsidRDefault="00B97339" w:rsidP="00B97339">
      <w:pPr>
        <w:pStyle w:val="PargrafodaLista"/>
        <w:numPr>
          <w:ilvl w:val="0"/>
          <w:numId w:val="2"/>
        </w:numPr>
      </w:pPr>
      <w:r>
        <w:t>Realidade carcerária</w:t>
      </w:r>
      <w:r w:rsidR="009A0366">
        <w:t xml:space="preserve"> CPI</w:t>
      </w:r>
    </w:p>
    <w:p w:rsidR="009A0366" w:rsidRDefault="009A0366" w:rsidP="00B97339">
      <w:pPr>
        <w:pStyle w:val="PargrafodaLista"/>
        <w:numPr>
          <w:ilvl w:val="0"/>
          <w:numId w:val="2"/>
        </w:numPr>
      </w:pPr>
      <w:r>
        <w:t>Uso abusivo da prisão provisória</w:t>
      </w:r>
      <w:r w:rsidR="00712D18">
        <w:t xml:space="preserve"> IPEA</w:t>
      </w:r>
    </w:p>
    <w:p w:rsidR="00B97339" w:rsidRDefault="00B97339" w:rsidP="00B97339"/>
    <w:p w:rsidR="00D718B7" w:rsidRDefault="00D718B7">
      <w:r>
        <w:br w:type="page"/>
      </w:r>
    </w:p>
    <w:p w:rsidR="00E82CB9" w:rsidRDefault="002465BC">
      <w:r>
        <w:lastRenderedPageBreak/>
        <w:t>BIBLIOGRAFIA</w:t>
      </w:r>
    </w:p>
    <w:p w:rsidR="00C26357" w:rsidRDefault="00F81289">
      <w:r>
        <w:t>BRASIL. CONGRESSO NACIONAL, CÂMARA DOS DEPUTADOS</w:t>
      </w:r>
      <w:r w:rsidR="00C26357">
        <w:t xml:space="preserve">. </w:t>
      </w:r>
      <w:r w:rsidR="00C26357" w:rsidRPr="00246AAA">
        <w:rPr>
          <w:b/>
        </w:rPr>
        <w:t>Comissão Parlamentar de Inquérito do Sistema Carcerário</w:t>
      </w:r>
      <w:r w:rsidR="00C26357">
        <w:t>. CPI sistema Carcerário. Brasília: Câmara dos Deputados, 2009. Disponível em:</w:t>
      </w:r>
      <w:hyperlink r:id="rId5" w:history="1">
        <w:r w:rsidR="00C26357" w:rsidRPr="005A1E97">
          <w:rPr>
            <w:rStyle w:val="Hyperlink"/>
          </w:rPr>
          <w:t>https://redir.stf.jus.br/paginadorpub/paginador.jsp?docTP=TP&amp;docID=8589056&amp;prcID=4783560#</w:t>
        </w:r>
      </w:hyperlink>
      <w:r w:rsidR="00C26357">
        <w:t>. Acesso em: 14 ago. 2023.</w:t>
      </w:r>
    </w:p>
    <w:p w:rsidR="002465BC" w:rsidRDefault="002465BC">
      <w:r>
        <w:t xml:space="preserve">CAMPOS, Carlos Alexandre de Azevedo. </w:t>
      </w:r>
      <w:r w:rsidRPr="00246AAA">
        <w:rPr>
          <w:b/>
        </w:rPr>
        <w:t>O Estado de Coisas Inconstitucional e o litígio estrutural</w:t>
      </w:r>
      <w:r>
        <w:t xml:space="preserve">. Revista Consultor Jurídico, set. 2015. Disponível em: </w:t>
      </w:r>
      <w:hyperlink r:id="rId6" w:history="1">
        <w:r w:rsidRPr="00671252">
          <w:rPr>
            <w:rStyle w:val="Hyperlink"/>
          </w:rPr>
          <w:t>https://www.conjur.com.br/2015-set-01/carlos-campos-estado-coisas-inconstitucional-litigio-estrutural</w:t>
        </w:r>
      </w:hyperlink>
      <w:r>
        <w:t>. Acesso em 03 ago. 2023.</w:t>
      </w:r>
    </w:p>
    <w:p w:rsidR="0091576C" w:rsidRDefault="002D1952">
      <w:r>
        <w:t>______</w:t>
      </w:r>
      <w:r w:rsidR="0091576C" w:rsidRPr="0091576C">
        <w:t xml:space="preserve">. </w:t>
      </w:r>
      <w:r w:rsidR="0091576C" w:rsidRPr="00246AAA">
        <w:rPr>
          <w:b/>
        </w:rPr>
        <w:t>Dimensões do ativismo judicial</w:t>
      </w:r>
      <w:r w:rsidR="000D1F8C" w:rsidRPr="00246AAA">
        <w:rPr>
          <w:b/>
        </w:rPr>
        <w:t xml:space="preserve"> no Supremo Tribunal Federal</w:t>
      </w:r>
      <w:r w:rsidR="000D1F8C">
        <w:t>. Dissertação (Mestrado</w:t>
      </w:r>
      <w:r w:rsidR="0091576C" w:rsidRPr="0091576C">
        <w:t>) - Universidade do Estado do Rio de Janeiro, Rio de Janeiro, 2012.</w:t>
      </w:r>
    </w:p>
    <w:p w:rsidR="00264848" w:rsidRDefault="00264848">
      <w:r>
        <w:t>______</w:t>
      </w:r>
      <w:r w:rsidRPr="00264848">
        <w:t xml:space="preserve">. </w:t>
      </w:r>
      <w:r w:rsidRPr="00246AAA">
        <w:rPr>
          <w:b/>
        </w:rPr>
        <w:t xml:space="preserve">Da inconstitucionalidade por omissão ao </w:t>
      </w:r>
      <w:r w:rsidR="000D1F8C" w:rsidRPr="00246AAA">
        <w:rPr>
          <w:b/>
        </w:rPr>
        <w:t>“</w:t>
      </w:r>
      <w:r w:rsidRPr="00246AAA">
        <w:rPr>
          <w:b/>
        </w:rPr>
        <w:t xml:space="preserve">Estado de coisas </w:t>
      </w:r>
      <w:r w:rsidR="00867644" w:rsidRPr="00246AAA">
        <w:rPr>
          <w:b/>
        </w:rPr>
        <w:t>inconstitucional</w:t>
      </w:r>
      <w:r w:rsidR="000D1F8C" w:rsidRPr="00246AAA">
        <w:rPr>
          <w:b/>
        </w:rPr>
        <w:t>”</w:t>
      </w:r>
      <w:r w:rsidR="00867644" w:rsidRPr="00264848">
        <w:t>.</w:t>
      </w:r>
      <w:r w:rsidRPr="00264848">
        <w:t xml:space="preserve"> Tese (Doutorado) - Universidade do Estado do Rio de Janeiro, Rio de Janeiro, 2015.</w:t>
      </w:r>
    </w:p>
    <w:p w:rsidR="00537BB4" w:rsidRDefault="00537BB4" w:rsidP="00537BB4">
      <w:r>
        <w:t xml:space="preserve">CONSELHO NACIONAL DE JUSTIÇA. </w:t>
      </w:r>
      <w:r w:rsidRPr="00246AAA">
        <w:rPr>
          <w:b/>
        </w:rPr>
        <w:t>Novo diagnóstico de pessoas presas no Brasil</w:t>
      </w:r>
      <w:r>
        <w:t xml:space="preserve">. Brasília: DMF, 2014. Disponível em: </w:t>
      </w:r>
      <w:hyperlink r:id="rId7" w:history="1">
        <w:r w:rsidRPr="005A1E97">
          <w:rPr>
            <w:rStyle w:val="Hyperlink"/>
          </w:rPr>
          <w:t>https://redir.stf.jus.br/paginadorpub/paginador.jsp?docTP=TP&amp;docID=8589058&amp;prcID=4783560#</w:t>
        </w:r>
      </w:hyperlink>
      <w:r>
        <w:t>. Acesso em: 14 ago. 2023.</w:t>
      </w:r>
    </w:p>
    <w:p w:rsidR="0078404E" w:rsidRDefault="0078404E">
      <w:r>
        <w:t xml:space="preserve">CONSELHO NACIONAL DO MINISTÉRIO PÚBLICO. </w:t>
      </w:r>
      <w:r w:rsidRPr="00246AAA">
        <w:rPr>
          <w:b/>
        </w:rPr>
        <w:t>A visão do Ministério Público brasileiro sobre o sistema prisional brasileiro</w:t>
      </w:r>
      <w:r>
        <w:t>. Brasília: CNMP, 2013.</w:t>
      </w:r>
      <w:r w:rsidR="00C456F3">
        <w:t xml:space="preserve"> Disponível em: </w:t>
      </w:r>
      <w:hyperlink r:id="rId8" w:history="1">
        <w:r w:rsidR="00C456F3" w:rsidRPr="005A1E97">
          <w:rPr>
            <w:rStyle w:val="Hyperlink"/>
          </w:rPr>
          <w:t>https://redir.stf.jus.br/paginadorpub/paginador.jsp?docTP=TP&amp;docID=8589061&amp;prcID=4783560#</w:t>
        </w:r>
      </w:hyperlink>
      <w:r w:rsidR="00C456F3">
        <w:t>. Acesso em: 14 ago. 2023.</w:t>
      </w:r>
    </w:p>
    <w:p w:rsidR="0082753D" w:rsidRDefault="0082753D" w:rsidP="0082753D">
      <w:r>
        <w:t>GRAVITO, César Rodríguez; FRANCO, Diana Rodríguez. Cortes y Cambio Social.</w:t>
      </w:r>
      <w:r w:rsidR="00E679A5">
        <w:t xml:space="preserve"> </w:t>
      </w:r>
      <w:proofErr w:type="spellStart"/>
      <w:r w:rsidRPr="00246AAA">
        <w:rPr>
          <w:b/>
        </w:rPr>
        <w:t>Cómo</w:t>
      </w:r>
      <w:proofErr w:type="spellEnd"/>
      <w:r w:rsidRPr="00246AAA">
        <w:rPr>
          <w:b/>
        </w:rPr>
        <w:t xml:space="preserve"> </w:t>
      </w:r>
      <w:proofErr w:type="spellStart"/>
      <w:r w:rsidRPr="00246AAA">
        <w:rPr>
          <w:b/>
        </w:rPr>
        <w:t>la</w:t>
      </w:r>
      <w:proofErr w:type="spellEnd"/>
      <w:r w:rsidRPr="00246AAA">
        <w:rPr>
          <w:b/>
        </w:rPr>
        <w:t xml:space="preserve"> Corte Constitucional </w:t>
      </w:r>
      <w:proofErr w:type="spellStart"/>
      <w:r w:rsidRPr="00246AAA">
        <w:rPr>
          <w:b/>
        </w:rPr>
        <w:t>transform</w:t>
      </w:r>
      <w:proofErr w:type="spellEnd"/>
      <w:r w:rsidRPr="00246AAA">
        <w:rPr>
          <w:b/>
        </w:rPr>
        <w:t xml:space="preserve"> </w:t>
      </w:r>
      <w:proofErr w:type="spellStart"/>
      <w:r w:rsidRPr="00246AAA">
        <w:rPr>
          <w:b/>
        </w:rPr>
        <w:t>el</w:t>
      </w:r>
      <w:proofErr w:type="spellEnd"/>
      <w:r w:rsidRPr="00246AAA">
        <w:rPr>
          <w:b/>
        </w:rPr>
        <w:t xml:space="preserve"> </w:t>
      </w:r>
      <w:proofErr w:type="spellStart"/>
      <w:r w:rsidRPr="00246AAA">
        <w:rPr>
          <w:b/>
        </w:rPr>
        <w:t>desplazamiento</w:t>
      </w:r>
      <w:proofErr w:type="spellEnd"/>
      <w:r w:rsidRPr="00246AAA">
        <w:rPr>
          <w:b/>
        </w:rPr>
        <w:t xml:space="preserve"> </w:t>
      </w:r>
      <w:proofErr w:type="spellStart"/>
      <w:r w:rsidRPr="00246AAA">
        <w:rPr>
          <w:b/>
        </w:rPr>
        <w:t>forzado</w:t>
      </w:r>
      <w:proofErr w:type="spellEnd"/>
      <w:r w:rsidRPr="00246AAA">
        <w:rPr>
          <w:b/>
        </w:rPr>
        <w:t xml:space="preserve"> </w:t>
      </w:r>
      <w:proofErr w:type="spellStart"/>
      <w:r w:rsidRPr="00246AAA">
        <w:rPr>
          <w:b/>
        </w:rPr>
        <w:t>en</w:t>
      </w:r>
      <w:proofErr w:type="spellEnd"/>
      <w:r w:rsidRPr="00246AAA">
        <w:rPr>
          <w:b/>
        </w:rPr>
        <w:t xml:space="preserve"> </w:t>
      </w:r>
      <w:proofErr w:type="spellStart"/>
      <w:r w:rsidRPr="00246AAA">
        <w:rPr>
          <w:b/>
        </w:rPr>
        <w:t>Colombia</w:t>
      </w:r>
      <w:proofErr w:type="spellEnd"/>
      <w:r>
        <w:t xml:space="preserve">. Bogotá: </w:t>
      </w:r>
      <w:proofErr w:type="spellStart"/>
      <w:r>
        <w:t>Dejusticia</w:t>
      </w:r>
      <w:proofErr w:type="spellEnd"/>
      <w:r>
        <w:t>, 2010</w:t>
      </w:r>
      <w:r w:rsidR="00167286">
        <w:t xml:space="preserve">. </w:t>
      </w:r>
      <w:r w:rsidR="00E679A5">
        <w:t xml:space="preserve"> Disponível em: </w:t>
      </w:r>
      <w:hyperlink r:id="rId9" w:history="1">
        <w:r w:rsidR="00E679A5" w:rsidRPr="003D0AE9">
          <w:rPr>
            <w:rStyle w:val="Hyperlink"/>
          </w:rPr>
          <w:t>https://www.dejusticia.org/publication/cortes-y-cambio-social-como-la-corte-constitucional-transformo-el-desplazamiento-forzado-en-colombia/</w:t>
        </w:r>
      </w:hyperlink>
      <w:r w:rsidR="00E679A5">
        <w:t>. Acesso em: 03 ago. 2023.</w:t>
      </w:r>
    </w:p>
    <w:p w:rsidR="006D6979" w:rsidRDefault="006D6979">
      <w:r>
        <w:t xml:space="preserve">HERNÁNDEZ, Clara </w:t>
      </w:r>
      <w:proofErr w:type="spellStart"/>
      <w:r>
        <w:t>Inés</w:t>
      </w:r>
      <w:proofErr w:type="spellEnd"/>
      <w:r>
        <w:t xml:space="preserve"> Vargas. </w:t>
      </w:r>
      <w:r w:rsidRPr="00246AAA">
        <w:rPr>
          <w:b/>
        </w:rPr>
        <w:t xml:space="preserve">La </w:t>
      </w:r>
      <w:proofErr w:type="spellStart"/>
      <w:r w:rsidRPr="00246AAA">
        <w:rPr>
          <w:b/>
        </w:rPr>
        <w:t>Garantía</w:t>
      </w:r>
      <w:proofErr w:type="spellEnd"/>
      <w:r w:rsidRPr="00246AAA">
        <w:rPr>
          <w:b/>
        </w:rPr>
        <w:t xml:space="preserve"> de </w:t>
      </w:r>
      <w:proofErr w:type="spellStart"/>
      <w:r w:rsidRPr="00246AAA">
        <w:rPr>
          <w:b/>
        </w:rPr>
        <w:t>la</w:t>
      </w:r>
      <w:proofErr w:type="spellEnd"/>
      <w:r w:rsidRPr="00246AAA">
        <w:rPr>
          <w:b/>
        </w:rPr>
        <w:t xml:space="preserve"> </w:t>
      </w:r>
      <w:proofErr w:type="spellStart"/>
      <w:r w:rsidRPr="00246AAA">
        <w:rPr>
          <w:b/>
        </w:rPr>
        <w:t>dimensión</w:t>
      </w:r>
      <w:proofErr w:type="spellEnd"/>
      <w:r w:rsidRPr="00246AAA">
        <w:rPr>
          <w:b/>
        </w:rPr>
        <w:t xml:space="preserve"> objetiva de </w:t>
      </w:r>
      <w:proofErr w:type="spellStart"/>
      <w:r w:rsidRPr="00246AAA">
        <w:rPr>
          <w:b/>
        </w:rPr>
        <w:t>los</w:t>
      </w:r>
      <w:proofErr w:type="spellEnd"/>
      <w:r w:rsidRPr="00246AAA">
        <w:rPr>
          <w:b/>
        </w:rPr>
        <w:t xml:space="preserve"> </w:t>
      </w:r>
      <w:proofErr w:type="spellStart"/>
      <w:r w:rsidRPr="00246AAA">
        <w:rPr>
          <w:b/>
        </w:rPr>
        <w:t>derechos</w:t>
      </w:r>
      <w:proofErr w:type="spellEnd"/>
      <w:r w:rsidRPr="00246AAA">
        <w:rPr>
          <w:b/>
        </w:rPr>
        <w:t xml:space="preserve"> </w:t>
      </w:r>
      <w:proofErr w:type="spellStart"/>
      <w:r w:rsidRPr="00246AAA">
        <w:rPr>
          <w:b/>
        </w:rPr>
        <w:t>fundamentales</w:t>
      </w:r>
      <w:proofErr w:type="spellEnd"/>
      <w:r w:rsidRPr="00246AAA">
        <w:rPr>
          <w:b/>
        </w:rPr>
        <w:t xml:space="preserve"> y labor </w:t>
      </w:r>
      <w:proofErr w:type="spellStart"/>
      <w:r w:rsidRPr="00246AAA">
        <w:rPr>
          <w:b/>
        </w:rPr>
        <w:t>del</w:t>
      </w:r>
      <w:proofErr w:type="spellEnd"/>
      <w:r w:rsidRPr="00246AAA">
        <w:rPr>
          <w:b/>
        </w:rPr>
        <w:t xml:space="preserve"> </w:t>
      </w:r>
      <w:proofErr w:type="spellStart"/>
      <w:r w:rsidRPr="00246AAA">
        <w:rPr>
          <w:b/>
        </w:rPr>
        <w:t>juez</w:t>
      </w:r>
      <w:proofErr w:type="spellEnd"/>
      <w:r w:rsidRPr="00246AAA">
        <w:rPr>
          <w:b/>
        </w:rPr>
        <w:t xml:space="preserve"> constitucional colombiano em sede de </w:t>
      </w:r>
      <w:proofErr w:type="spellStart"/>
      <w:r w:rsidRPr="00246AAA">
        <w:rPr>
          <w:b/>
        </w:rPr>
        <w:t>acción</w:t>
      </w:r>
      <w:proofErr w:type="spellEnd"/>
      <w:r w:rsidRPr="00246AAA">
        <w:rPr>
          <w:b/>
        </w:rPr>
        <w:t xml:space="preserve"> de tutela: </w:t>
      </w:r>
      <w:proofErr w:type="spellStart"/>
      <w:r w:rsidRPr="00246AAA">
        <w:rPr>
          <w:b/>
        </w:rPr>
        <w:t>el</w:t>
      </w:r>
      <w:proofErr w:type="spellEnd"/>
      <w:r w:rsidRPr="00246AAA">
        <w:rPr>
          <w:b/>
        </w:rPr>
        <w:t xml:space="preserve"> </w:t>
      </w:r>
      <w:proofErr w:type="spellStart"/>
      <w:r w:rsidRPr="00246AAA">
        <w:rPr>
          <w:b/>
        </w:rPr>
        <w:t>llamado</w:t>
      </w:r>
      <w:proofErr w:type="spellEnd"/>
      <w:r w:rsidRPr="00246AAA">
        <w:rPr>
          <w:b/>
        </w:rPr>
        <w:t xml:space="preserve"> “estado de cosas inconstitucional”</w:t>
      </w:r>
      <w:r>
        <w:t>.</w:t>
      </w:r>
      <w:r w:rsidR="003D5088">
        <w:t xml:space="preserve"> </w:t>
      </w:r>
      <w:proofErr w:type="spellStart"/>
      <w:r w:rsidR="003D5088">
        <w:t>Estudios</w:t>
      </w:r>
      <w:proofErr w:type="spellEnd"/>
      <w:r w:rsidR="003D5088">
        <w:t xml:space="preserve"> </w:t>
      </w:r>
      <w:proofErr w:type="spellStart"/>
      <w:r w:rsidR="003D5088">
        <w:t>Constitucionales</w:t>
      </w:r>
      <w:proofErr w:type="spellEnd"/>
      <w:r w:rsidR="003D5088">
        <w:t xml:space="preserve">, Santiago, </w:t>
      </w:r>
      <w:proofErr w:type="spellStart"/>
      <w:r w:rsidR="003D5088">
        <w:t>vol</w:t>
      </w:r>
      <w:proofErr w:type="spellEnd"/>
      <w:r w:rsidR="003D5088">
        <w:t xml:space="preserve"> 1, </w:t>
      </w:r>
      <w:proofErr w:type="spellStart"/>
      <w:r w:rsidR="003D5088">
        <w:t>núm</w:t>
      </w:r>
      <w:proofErr w:type="spellEnd"/>
      <w:r w:rsidR="003D5088">
        <w:t xml:space="preserve"> </w:t>
      </w:r>
      <w:r w:rsidR="003D5088">
        <w:lastRenderedPageBreak/>
        <w:t xml:space="preserve">1, 2003. Disponível em: </w:t>
      </w:r>
      <w:hyperlink r:id="rId10" w:history="1">
        <w:r w:rsidR="003D5088" w:rsidRPr="00671252">
          <w:rPr>
            <w:rStyle w:val="Hyperlink"/>
          </w:rPr>
          <w:t>https://www.redalyc.org/articulo.oa?id=82010111</w:t>
        </w:r>
      </w:hyperlink>
      <w:r w:rsidR="003D5088">
        <w:t>. Acesso em: 03 ago. 2023.</w:t>
      </w:r>
    </w:p>
    <w:p w:rsidR="009A0366" w:rsidRDefault="009A0366">
      <w:r>
        <w:t xml:space="preserve">INSTITUTO DE PESQUISA ECONOMICA APLICADA (IPEA). </w:t>
      </w:r>
      <w:r w:rsidRPr="00246AAA">
        <w:rPr>
          <w:b/>
        </w:rPr>
        <w:t>A Aplicação de Penas e Medidas Alternativas</w:t>
      </w:r>
      <w:r w:rsidR="00A936E5">
        <w:t>. 2014</w:t>
      </w:r>
      <w:r>
        <w:t xml:space="preserve">. Disponível em: </w:t>
      </w:r>
      <w:hyperlink r:id="rId11" w:history="1">
        <w:r w:rsidRPr="005A1E97">
          <w:rPr>
            <w:rStyle w:val="Hyperlink"/>
          </w:rPr>
          <w:t>https://redir.stf.jus.br/paginadorpub/paginador.jsp?docTP=TP&amp;docID=8589060&amp;prcID=4783560#</w:t>
        </w:r>
      </w:hyperlink>
      <w:r>
        <w:t>. Acesso em: 14 ago. 2023.</w:t>
      </w:r>
      <w:bookmarkStart w:id="0" w:name="_GoBack"/>
      <w:bookmarkEnd w:id="0"/>
    </w:p>
    <w:sectPr w:rsidR="009A0366" w:rsidSect="00806D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11CF9"/>
    <w:multiLevelType w:val="hybridMultilevel"/>
    <w:tmpl w:val="7990E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A2319"/>
    <w:multiLevelType w:val="hybridMultilevel"/>
    <w:tmpl w:val="7F3EF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BC"/>
    <w:rsid w:val="000D1F8C"/>
    <w:rsid w:val="00167286"/>
    <w:rsid w:val="001C0DC9"/>
    <w:rsid w:val="00245771"/>
    <w:rsid w:val="002465BC"/>
    <w:rsid w:val="00246AAA"/>
    <w:rsid w:val="00264848"/>
    <w:rsid w:val="002B6159"/>
    <w:rsid w:val="002D1952"/>
    <w:rsid w:val="003010C2"/>
    <w:rsid w:val="003C0AE8"/>
    <w:rsid w:val="003D5088"/>
    <w:rsid w:val="00537BB4"/>
    <w:rsid w:val="00566C48"/>
    <w:rsid w:val="006D6979"/>
    <w:rsid w:val="006E40C4"/>
    <w:rsid w:val="00712D18"/>
    <w:rsid w:val="007372D1"/>
    <w:rsid w:val="0078404E"/>
    <w:rsid w:val="00806DCA"/>
    <w:rsid w:val="0082753D"/>
    <w:rsid w:val="00842D83"/>
    <w:rsid w:val="00867644"/>
    <w:rsid w:val="008A5DCD"/>
    <w:rsid w:val="008C297D"/>
    <w:rsid w:val="008F48B7"/>
    <w:rsid w:val="0091576C"/>
    <w:rsid w:val="009621B7"/>
    <w:rsid w:val="00976FD6"/>
    <w:rsid w:val="00980F7D"/>
    <w:rsid w:val="009A0366"/>
    <w:rsid w:val="00A0771D"/>
    <w:rsid w:val="00A936E5"/>
    <w:rsid w:val="00AE0F5E"/>
    <w:rsid w:val="00B314F7"/>
    <w:rsid w:val="00B81DCD"/>
    <w:rsid w:val="00B97339"/>
    <w:rsid w:val="00C26357"/>
    <w:rsid w:val="00C364D2"/>
    <w:rsid w:val="00C44CC2"/>
    <w:rsid w:val="00C456F3"/>
    <w:rsid w:val="00C9015A"/>
    <w:rsid w:val="00D34EB7"/>
    <w:rsid w:val="00D718B7"/>
    <w:rsid w:val="00E679A5"/>
    <w:rsid w:val="00E819F1"/>
    <w:rsid w:val="00E82CB9"/>
    <w:rsid w:val="00E920A8"/>
    <w:rsid w:val="00E92600"/>
    <w:rsid w:val="00E972B6"/>
    <w:rsid w:val="00EC24F4"/>
    <w:rsid w:val="00F81289"/>
    <w:rsid w:val="00F9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71172"/>
  <w15:chartTrackingRefBased/>
  <w15:docId w15:val="{A01E5D4F-8DA6-450D-8DE1-940D2D80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7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65B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80F7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077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r.stf.jus.br/paginadorpub/paginador.jsp?docTP=TP&amp;docID=8589061&amp;prcID=478356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dir.stf.jus.br/paginadorpub/paginador.jsp?docTP=TP&amp;docID=8589058&amp;prcID=47835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jur.com.br/2015-set-01/carlos-campos-estado-coisas-inconstitucional-litigio-estrutural" TargetMode="External"/><Relationship Id="rId11" Type="http://schemas.openxmlformats.org/officeDocument/2006/relationships/hyperlink" Target="https://redir.stf.jus.br/paginadorpub/paginador.jsp?docTP=TP&amp;docID=8589060&amp;prcID=4783560" TargetMode="External"/><Relationship Id="rId5" Type="http://schemas.openxmlformats.org/officeDocument/2006/relationships/hyperlink" Target="https://redir.stf.jus.br/paginadorpub/paginador.jsp?docTP=TP&amp;docID=8589056&amp;prcID=4783560" TargetMode="External"/><Relationship Id="rId10" Type="http://schemas.openxmlformats.org/officeDocument/2006/relationships/hyperlink" Target="https://www.redalyc.org/articulo.oa?id=820101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justicia.org/publication/cortes-y-cambio-social-como-la-corte-constitucional-transformo-el-desplazamiento-forzado-en-colombi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5</Pages>
  <Words>795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da Silva Lino</dc:creator>
  <cp:keywords/>
  <dc:description/>
  <cp:lastModifiedBy>Tobias da Silva Lino</cp:lastModifiedBy>
  <cp:revision>50</cp:revision>
  <dcterms:created xsi:type="dcterms:W3CDTF">2023-08-03T18:17:00Z</dcterms:created>
  <dcterms:modified xsi:type="dcterms:W3CDTF">2023-08-14T12:46:00Z</dcterms:modified>
</cp:coreProperties>
</file>