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44"/>
          <w:szCs w:val="44"/>
        </w:rPr>
        <w:t xml:space="preserve">VUKA</w:t>
      </w:r>
    </w:p>
    <w:p>
      <w:pPr>
        <w:spacing w:after="300"/>
      </w:pPr>
      <w:r>
        <w:rPr>
          <w:color w:val="2E6F9E"/>
          <w:sz w:val="30"/>
          <w:szCs w:val="30"/>
        </w:rPr>
        <w:t xml:space="preserve">Go-Live Readiness Checklist</w:t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Prepared as a working checklist to track everything standing between the current simulated-mode build and processing real customer money. Nothing in this document is a substitute for legal or regulatory advice — treat the compliance and licensing items as items to walk through with counsel and the relevant partners.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1. Hard blockers — require partnership / legal work, not code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Sign a licensed bank/MTO partner per corridor who formally accepts the AML/KYC/licensing obligation.</w:t>
      </w:r>
      <w:r>
        <w:rPr>
          <w:i/>
          <w:iCs/>
          <w:color w:val="666666"/>
          <w:sz w:val="19"/>
          <w:szCs w:val="19"/>
        </w:rPr>
        <w:t xml:space="preserve">  Vuka's whole compliance model depends on this existing in writing, per corridor.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Designate a Money Laundering Reporting Officer (MLRO) — a named, accountable human.</w:t>
      </w:r>
      <w:r>
        <w:rPr>
          <w:i/>
          <w:iCs/>
          <w:color w:val="666666"/>
          <w:sz w:val="19"/>
          <w:szCs w:val="19"/>
        </w:rPr>
        <w:t xml:space="preserve">  Set VUKA_MLRO_NAME / VUKA_MLRO_EMAIL once designated. The dashboard shows an honest warning until then.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Contract a real sanctions/PEP screening provider (or get a bank partner to confirm their delegated-screening endpoint).</w:t>
      </w:r>
      <w:r>
        <w:rPr>
          <w:i/>
          <w:iCs/>
          <w:color w:val="666666"/>
          <w:sz w:val="19"/>
          <w:szCs w:val="19"/>
        </w:rPr>
        <w:t xml:space="preserve">  This is the single biggest gap — see Section 3.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Confirm KYC/identity verification is actually handled upstream by telco SIM registration for each target market.</w:t>
      </w:r>
      <w:r>
        <w:rPr>
          <w:i/>
          <w:iCs/>
          <w:color w:val="666666"/>
          <w:sz w:val="19"/>
          <w:szCs w:val="19"/>
        </w:rPr>
        <w:t xml:space="preserve">  Vuka assumes this; it should be verified per carrier, not assumed indefinitely.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Confirm Safaricom Daraja production paybill status.</w:t>
      </w:r>
      <w:r>
        <w:rPr>
          <w:i/>
          <w:iCs/>
          <w:color w:val="666666"/>
          <w:sz w:val="19"/>
          <w:szCs w:val="19"/>
        </w:rPr>
        <w:t xml:space="preserve">  Sandbox vs production access should be tracked explicitly per market.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2. Live credentials — config, but each needs a real onboarding process</w:t>
      </w:r>
    </w:p>
    <w:p>
      <w:pPr>
        <w:spacing w:after="120"/>
      </w:pPr>
      <w:r>
        <w:rPr>
          <w:sz w:val="21"/>
          <w:szCs w:val="21"/>
        </w:rPr>
        <w:t xml:space="preserve">Full authoritative list with inline documentation lives in .env.example in each service directory. Summary: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5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Rail</w:t>
            </w:r>
          </w:p>
        </w:tc>
        <w:tc>
          <w:tcPr>
            <w:tcW w:type="dxa" w:w="4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Env vars</w:t>
            </w:r>
          </w:p>
        </w:tc>
        <w:tc>
          <w:tcPr>
            <w:tcW w:type="dxa" w:w="27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Payout — Thunes DGN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THUNES_API_KEY / _SECRET / _PAYER_ID, per-corridor THUNES_SERVICE_ID_*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Thunes compliance review + onboarding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Collection — Onafriq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ONAFRIQ_API_KEY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Onafriq merchant onboarding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Collection — Safaricom Daraja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DARAJA_CONSUMER_KEY / _SECRET, DARAJA_SHORTCODE, DARAJA_PASSKEY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Safaricom paybill + Daraja production access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SMS OTP — Africa's Talking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AT_USERNAME, AT_API_KEY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Africa's Talking account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Encryption at rest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SESSION_SECRET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Just generate + set — no external party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Sanctions/PEP screening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SANCTIONS_VENDOR_*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Signed vendor contract (ComplyAdvantage, Refinitiv, etc.)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 alerts (non-blocking)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WHATSAPP_TOKEN, WHATSAPP_PHONE_NUMBER_ID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 WhatsApp Business API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AI (non-blocking)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AI_INTEGRATIONS_GEMINI_*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Replit AI Integrations</w:t>
            </w:r>
          </w:p>
        </w:tc>
      </w:tr>
    </w:tbl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3. Compliance layer — what's real today vs what still needs a vendor</w:t>
      </w:r>
    </w:p>
    <w:p>
      <w:pPr>
        <w:pStyle w:val="Heading2"/>
        <w:spacing w:after="120" w:before="280"/>
      </w:pPr>
      <w:r>
        <w:rPr>
          <w:b/>
          <w:bCs/>
          <w:color w:val="2E6F9E"/>
          <w:sz w:val="24"/>
          <w:szCs w:val="24"/>
        </w:rPr>
        <w:t xml:space="preserve">Real today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Velocity rule (structuring/smurfing signal) — computed from Vuka's own ledger.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Large-amount rule — computed from Vuka's own corridor config.</w:t>
      </w:r>
      <w:r>
        <w:rPr>
          <w:i/>
          <w:iCs/>
          <w:color w:val="666666"/>
          <w:sz w:val="19"/>
          <w:szCs w:val="19"/>
        </w:rPr>
        <w:t xml:space="preserve">  Known gap: compares a KES send-amount against a soft cap denominated in the destination currency — needs a currency-aware fix before this is fully trustworthy.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Bank-partner delegated screening — real once a partner opts in and confirms the endpoint (fail-closed until then).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Sanctions vendor integration point (sanctions_screening.py) — real once SANCTIONS_VENDOR_* is set and a vendor is contracted.</w:t>
      </w:r>
      <w:r>
        <w:rPr>
          <w:i/>
          <w:iCs/>
          <w:color w:val="666666"/>
          <w:sz w:val="19"/>
          <w:szCs w:val="19"/>
        </w:rPr>
        <w:t xml:space="preserve">  Currently screens the RECIPIENT name only — the USSD flow doesn't collect a sender name, so sender screening isn't possible without a flow change.</w:t>
      </w:r>
    </w:p>
    <w:p>
      <w:pPr>
        <w:pStyle w:val="Heading2"/>
        <w:spacing w:after="120" w:before="280"/>
      </w:pPr>
      <w:r>
        <w:rPr>
          <w:b/>
          <w:bCs/>
          <w:color w:val="2E6F9E"/>
          <w:sz w:val="24"/>
          <w:szCs w:val="24"/>
        </w:rPr>
        <w:t xml:space="preserve">Still simulated / not implemented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Local watchlist — a manually curated phone-number list. Not a real OFAC/UN/EU list, no name/DOB matching.</w:t>
      </w:r>
      <w:r>
        <w:rPr>
          <w:i/>
          <w:iCs/>
          <w:color w:val="666666"/>
          <w:sz w:val="19"/>
          <w:szCs w:val="19"/>
        </w:rPr>
        <w:t xml:space="preserve">  Keep running it alongside the real vendor once contracted, not instead of it.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No SAR filing integration — "Escalate" in the dashboard is an internal status change, not a regulator submission.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No device fingerprinting, IP/geolocation, or cross-corridor ML-based anomaly detection.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4. Infrastructure gaps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USSD session storage — DONE. Sessions now persist to the SQLite ledger (ussd_sessions table) rather than an in-memory dict, verified to survive a full process restart.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Live FX rate feed — fx.py is currently a static/illustrative rate table. Needs a real rate source before quoting actual money.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Security review / penetration test — has not been done on any of this codebase.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Encryption at rest — SESSION_SECRET is unset by default; phone numbers are stored in plaintext until it's set. Pure config fix, no blocker.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Multi-worker deployment testing — session persistence is now DB-backed, but hasn't been load-tested with concurrent workers.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5. Suggested sequencing</w:t>
      </w:r>
    </w:p>
    <w:p>
      <w:pPr>
        <w:spacing w:after="120"/>
      </w:pPr>
      <w:r>
        <w:rPr>
          <w:sz w:val="21"/>
          <w:szCs w:val="21"/>
        </w:rPr>
        <w:t xml:space="preserve">Rather than chasing all four corridors and every integration simultaneously, consider: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Pick one corridor to launch first (e.g. the one with the most advanced bank-partner conversation).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Get that corridor's bank partner AND a sanctions vendor (or their delegated screening) confirmed before requesting any payout credentials.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Set SESSION_SECRET and designate the MLRO immediately — both are zero-dependency, no-cost fixes available today.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1"/>
          <w:szCs w:val="21"/>
        </w:rPr>
        <w:t xml:space="preserve">☐  </w:t>
      </w:r>
      <w:r>
        <w:rPr>
          <w:sz w:val="21"/>
          <w:szCs w:val="21"/>
        </w:rPr>
        <w:t xml:space="preserve">Only request Thunes/Onafriq/Daraja production credentials once the compliance posture for that specific corridor is real, not simulated.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2026-07-07T20:57:09.417Z</dcterms:created>
  <dcterms:modified xsi:type="dcterms:W3CDTF">2026-07-07T20:57:09.418Z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