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A2B83" w14:textId="77777777" w:rsidR="00A779D7" w:rsidRDefault="00A779D7" w:rsidP="00A779D7">
      <w:pPr>
        <w:spacing w:line="360" w:lineRule="auto"/>
        <w:jc w:val="center"/>
        <w:rPr>
          <w:rFonts w:ascii="Arial" w:hAnsi="Arial" w:cs="Arial"/>
          <w:sz w:val="28"/>
          <w:lang w:val="en-US"/>
        </w:rPr>
      </w:pPr>
    </w:p>
    <w:p w14:paraId="5D13FD35" w14:textId="77777777" w:rsidR="00A779D7" w:rsidRDefault="00A779D7" w:rsidP="00A779D7">
      <w:pPr>
        <w:spacing w:line="360" w:lineRule="auto"/>
        <w:jc w:val="center"/>
        <w:rPr>
          <w:rFonts w:ascii="Arial" w:hAnsi="Arial" w:cs="Arial"/>
          <w:sz w:val="28"/>
          <w:lang w:val="en-US"/>
        </w:rPr>
      </w:pPr>
    </w:p>
    <w:p w14:paraId="62E5B211" w14:textId="77777777" w:rsidR="00A779D7" w:rsidRDefault="00A779D7" w:rsidP="00A779D7">
      <w:pPr>
        <w:spacing w:line="360" w:lineRule="auto"/>
        <w:jc w:val="center"/>
        <w:rPr>
          <w:rFonts w:ascii="Arial" w:hAnsi="Arial" w:cs="Arial"/>
          <w:sz w:val="28"/>
          <w:lang w:val="en-US"/>
        </w:rPr>
      </w:pPr>
    </w:p>
    <w:p w14:paraId="20ED31E2" w14:textId="77777777" w:rsidR="00A779D7" w:rsidRDefault="00A779D7" w:rsidP="00A779D7">
      <w:pPr>
        <w:spacing w:line="360" w:lineRule="auto"/>
        <w:jc w:val="center"/>
        <w:rPr>
          <w:rFonts w:ascii="Arial" w:hAnsi="Arial" w:cs="Arial"/>
          <w:sz w:val="28"/>
          <w:lang w:val="en-US"/>
        </w:rPr>
      </w:pPr>
      <w:r w:rsidRPr="00A779D7">
        <w:rPr>
          <w:rFonts w:ascii="Arial" w:hAnsi="Arial" w:cs="Arial"/>
          <w:sz w:val="28"/>
          <w:lang w:val="en-US"/>
        </w:rPr>
        <w:t>Seminar Paper</w:t>
      </w:r>
      <w:r>
        <w:rPr>
          <w:rFonts w:ascii="Arial" w:hAnsi="Arial" w:cs="Arial"/>
          <w:sz w:val="28"/>
          <w:lang w:val="en-US"/>
        </w:rPr>
        <w:t xml:space="preserve"> Group 9</w:t>
      </w:r>
    </w:p>
    <w:p w14:paraId="469F80AB" w14:textId="77777777" w:rsidR="00A779D7" w:rsidRDefault="00A779D7" w:rsidP="00A779D7">
      <w:pPr>
        <w:spacing w:line="360" w:lineRule="auto"/>
        <w:jc w:val="center"/>
        <w:rPr>
          <w:rFonts w:ascii="Arial" w:hAnsi="Arial" w:cs="Arial"/>
          <w:sz w:val="28"/>
          <w:lang w:val="en-US"/>
        </w:rPr>
      </w:pPr>
      <w:r>
        <w:rPr>
          <w:rFonts w:ascii="Arial" w:hAnsi="Arial" w:cs="Arial"/>
          <w:sz w:val="28"/>
          <w:lang w:val="en-US"/>
        </w:rPr>
        <w:t>MBF Practitioner Seminar</w:t>
      </w:r>
    </w:p>
    <w:p w14:paraId="70180A97" w14:textId="77777777" w:rsidR="00A779D7" w:rsidRDefault="00A779D7" w:rsidP="00A779D7">
      <w:pPr>
        <w:spacing w:line="360" w:lineRule="auto"/>
        <w:jc w:val="center"/>
        <w:rPr>
          <w:rFonts w:ascii="Arial" w:hAnsi="Arial" w:cs="Arial"/>
          <w:sz w:val="28"/>
          <w:lang w:val="en-US"/>
        </w:rPr>
      </w:pPr>
    </w:p>
    <w:p w14:paraId="655B4754" w14:textId="77777777" w:rsidR="00A779D7" w:rsidRPr="00A779D7" w:rsidRDefault="00A779D7" w:rsidP="00A779D7">
      <w:pPr>
        <w:spacing w:line="360" w:lineRule="auto"/>
        <w:rPr>
          <w:rFonts w:ascii="Arial" w:hAnsi="Arial" w:cs="Arial"/>
          <w:sz w:val="36"/>
          <w:lang w:val="en-US"/>
        </w:rPr>
      </w:pPr>
    </w:p>
    <w:p w14:paraId="79CC40BF" w14:textId="77777777" w:rsidR="00505C0D" w:rsidRDefault="00A779D7" w:rsidP="00A779D7">
      <w:pPr>
        <w:spacing w:line="360" w:lineRule="auto"/>
        <w:jc w:val="center"/>
        <w:rPr>
          <w:rFonts w:ascii="Arial" w:hAnsi="Arial" w:cs="Arial"/>
          <w:sz w:val="36"/>
          <w:lang w:val="en-US"/>
        </w:rPr>
      </w:pPr>
      <w:r w:rsidRPr="00A779D7">
        <w:rPr>
          <w:rFonts w:ascii="Arial" w:hAnsi="Arial" w:cs="Arial"/>
          <w:sz w:val="36"/>
          <w:lang w:val="en-US"/>
        </w:rPr>
        <w:t>Impact of fundamental research on investing in Asia</w:t>
      </w:r>
      <w:r>
        <w:rPr>
          <w:rFonts w:ascii="Arial" w:hAnsi="Arial" w:cs="Arial"/>
          <w:sz w:val="36"/>
          <w:lang w:val="en-US"/>
        </w:rPr>
        <w:t xml:space="preserve"> – </w:t>
      </w:r>
    </w:p>
    <w:p w14:paraId="2BDCDA6C" w14:textId="77777777" w:rsidR="00A779D7" w:rsidRDefault="00A779D7" w:rsidP="00A779D7">
      <w:pPr>
        <w:spacing w:line="360" w:lineRule="auto"/>
        <w:jc w:val="center"/>
        <w:rPr>
          <w:rFonts w:ascii="Arial" w:hAnsi="Arial" w:cs="Arial"/>
          <w:sz w:val="36"/>
          <w:lang w:val="en-US"/>
        </w:rPr>
      </w:pPr>
      <w:r>
        <w:rPr>
          <w:rFonts w:ascii="Arial" w:hAnsi="Arial" w:cs="Arial"/>
          <w:sz w:val="36"/>
          <w:lang w:val="en-US"/>
        </w:rPr>
        <w:t>Do equity funds in Asia outperform indices and if so, why?</w:t>
      </w:r>
    </w:p>
    <w:p w14:paraId="52B41E9A" w14:textId="77777777" w:rsidR="00A779D7" w:rsidRDefault="00A779D7" w:rsidP="00A779D7">
      <w:pPr>
        <w:spacing w:line="360" w:lineRule="auto"/>
        <w:jc w:val="center"/>
        <w:rPr>
          <w:rFonts w:ascii="Arial" w:hAnsi="Arial" w:cs="Arial"/>
          <w:sz w:val="36"/>
          <w:lang w:val="en-US"/>
        </w:rPr>
      </w:pPr>
    </w:p>
    <w:p w14:paraId="6306CAB7" w14:textId="77777777" w:rsidR="00A779D7" w:rsidRDefault="00A779D7" w:rsidP="00A779D7">
      <w:pPr>
        <w:spacing w:line="360" w:lineRule="auto"/>
        <w:jc w:val="center"/>
        <w:rPr>
          <w:rFonts w:ascii="Arial" w:hAnsi="Arial" w:cs="Arial"/>
          <w:sz w:val="24"/>
          <w:lang w:val="en-US"/>
        </w:rPr>
      </w:pPr>
      <w:r>
        <w:rPr>
          <w:rFonts w:ascii="Arial" w:hAnsi="Arial" w:cs="Arial"/>
          <w:sz w:val="24"/>
          <w:lang w:val="en-US"/>
        </w:rPr>
        <w:t xml:space="preserve">By </w:t>
      </w:r>
      <w:proofErr w:type="spellStart"/>
      <w:r w:rsidRPr="00A779D7">
        <w:rPr>
          <w:rFonts w:ascii="Arial" w:hAnsi="Arial" w:cs="Arial"/>
          <w:sz w:val="24"/>
          <w:lang w:val="en-US"/>
        </w:rPr>
        <w:t>Anandita</w:t>
      </w:r>
      <w:proofErr w:type="spellEnd"/>
      <w:r w:rsidRPr="00A779D7">
        <w:rPr>
          <w:rFonts w:ascii="Arial" w:hAnsi="Arial" w:cs="Arial"/>
          <w:sz w:val="24"/>
          <w:lang w:val="en-US"/>
        </w:rPr>
        <w:t xml:space="preserve"> </w:t>
      </w:r>
      <w:proofErr w:type="spellStart"/>
      <w:r w:rsidRPr="00A779D7">
        <w:rPr>
          <w:rFonts w:ascii="Arial" w:hAnsi="Arial" w:cs="Arial"/>
          <w:sz w:val="24"/>
          <w:lang w:val="en-US"/>
        </w:rPr>
        <w:t>Kuthiala</w:t>
      </w:r>
      <w:proofErr w:type="spellEnd"/>
      <w:r w:rsidRPr="00A779D7">
        <w:rPr>
          <w:rFonts w:ascii="Arial" w:hAnsi="Arial" w:cs="Arial"/>
          <w:sz w:val="24"/>
          <w:lang w:val="en-US"/>
        </w:rPr>
        <w:t xml:space="preserve">, </w:t>
      </w:r>
      <w:proofErr w:type="spellStart"/>
      <w:r w:rsidRPr="00A779D7">
        <w:rPr>
          <w:rFonts w:ascii="Arial" w:hAnsi="Arial" w:cs="Arial"/>
          <w:sz w:val="24"/>
          <w:lang w:val="en-US"/>
        </w:rPr>
        <w:t>Ruonan</w:t>
      </w:r>
      <w:proofErr w:type="spellEnd"/>
      <w:r w:rsidRPr="00A779D7">
        <w:rPr>
          <w:rFonts w:ascii="Arial" w:hAnsi="Arial" w:cs="Arial"/>
          <w:sz w:val="24"/>
          <w:lang w:val="en-US"/>
        </w:rPr>
        <w:t xml:space="preserve"> Qu, </w:t>
      </w:r>
      <w:proofErr w:type="spellStart"/>
      <w:r w:rsidRPr="00A779D7">
        <w:rPr>
          <w:rFonts w:ascii="Arial" w:hAnsi="Arial" w:cs="Arial"/>
          <w:sz w:val="24"/>
          <w:lang w:val="en-US"/>
        </w:rPr>
        <w:t>Shuwen</w:t>
      </w:r>
      <w:proofErr w:type="spellEnd"/>
      <w:r w:rsidRPr="00A779D7">
        <w:rPr>
          <w:rFonts w:ascii="Arial" w:hAnsi="Arial" w:cs="Arial"/>
          <w:sz w:val="24"/>
          <w:lang w:val="en-US"/>
        </w:rPr>
        <w:t xml:space="preserve"> Sun, Tobias Wiest</w:t>
      </w:r>
    </w:p>
    <w:p w14:paraId="169BC758" w14:textId="77777777" w:rsidR="00A779D7" w:rsidRDefault="00A779D7" w:rsidP="00A779D7">
      <w:pPr>
        <w:spacing w:line="360" w:lineRule="auto"/>
        <w:jc w:val="center"/>
        <w:rPr>
          <w:rFonts w:ascii="Arial" w:hAnsi="Arial" w:cs="Arial"/>
          <w:sz w:val="24"/>
          <w:lang w:val="en-US"/>
        </w:rPr>
      </w:pPr>
    </w:p>
    <w:p w14:paraId="713B2DEB" w14:textId="77777777" w:rsidR="00A779D7" w:rsidRDefault="00A779D7" w:rsidP="00A779D7">
      <w:pPr>
        <w:spacing w:line="360" w:lineRule="auto"/>
        <w:rPr>
          <w:rFonts w:ascii="Arial" w:hAnsi="Arial" w:cs="Arial"/>
          <w:sz w:val="24"/>
          <w:lang w:val="en-US"/>
        </w:rPr>
      </w:pPr>
    </w:p>
    <w:p w14:paraId="065D7DFF" w14:textId="77777777" w:rsidR="00A779D7" w:rsidRDefault="00A779D7" w:rsidP="00A779D7">
      <w:pPr>
        <w:spacing w:line="360" w:lineRule="auto"/>
        <w:rPr>
          <w:rFonts w:ascii="Arial" w:hAnsi="Arial" w:cs="Arial"/>
          <w:sz w:val="24"/>
          <w:lang w:val="en-US"/>
        </w:rPr>
      </w:pPr>
    </w:p>
    <w:p w14:paraId="4BB74939" w14:textId="77777777" w:rsidR="00A779D7" w:rsidRDefault="00A779D7" w:rsidP="00A779D7">
      <w:pPr>
        <w:spacing w:line="360" w:lineRule="auto"/>
        <w:rPr>
          <w:rFonts w:ascii="Arial" w:hAnsi="Arial" w:cs="Arial"/>
          <w:sz w:val="24"/>
          <w:lang w:val="en-US"/>
        </w:rPr>
      </w:pPr>
    </w:p>
    <w:p w14:paraId="5180E247" w14:textId="77777777" w:rsidR="00A779D7" w:rsidRDefault="00A779D7" w:rsidP="00A779D7">
      <w:pPr>
        <w:spacing w:line="360" w:lineRule="auto"/>
        <w:jc w:val="right"/>
        <w:rPr>
          <w:rFonts w:ascii="Arial" w:hAnsi="Arial" w:cs="Arial"/>
          <w:sz w:val="24"/>
          <w:lang w:val="en-US"/>
        </w:rPr>
      </w:pPr>
      <w:r>
        <w:rPr>
          <w:rFonts w:ascii="Arial" w:hAnsi="Arial" w:cs="Arial"/>
          <w:sz w:val="24"/>
          <w:lang w:val="en-US"/>
        </w:rPr>
        <w:t>Date: 09.02.2019</w:t>
      </w:r>
    </w:p>
    <w:p w14:paraId="58759E13" w14:textId="77777777" w:rsidR="00A779D7" w:rsidRDefault="00A779D7" w:rsidP="00A779D7">
      <w:pPr>
        <w:spacing w:line="360" w:lineRule="auto"/>
        <w:rPr>
          <w:rFonts w:ascii="Arial" w:hAnsi="Arial" w:cs="Arial"/>
          <w:sz w:val="24"/>
          <w:lang w:val="en-US"/>
        </w:rPr>
      </w:pPr>
    </w:p>
    <w:p w14:paraId="333E2867" w14:textId="77777777" w:rsidR="00A779D7" w:rsidRDefault="00A779D7" w:rsidP="00A779D7">
      <w:pPr>
        <w:rPr>
          <w:rFonts w:ascii="Arial" w:hAnsi="Arial" w:cs="Arial"/>
          <w:sz w:val="24"/>
          <w:lang w:val="en-US"/>
        </w:rPr>
      </w:pPr>
      <w:r>
        <w:rPr>
          <w:rFonts w:ascii="Arial" w:hAnsi="Arial" w:cs="Arial"/>
          <w:sz w:val="24"/>
          <w:lang w:val="en-US"/>
        </w:rPr>
        <w:t>Advisors:</w:t>
      </w:r>
    </w:p>
    <w:p w14:paraId="72A0C7AA" w14:textId="77777777" w:rsidR="00A779D7" w:rsidRDefault="00A779D7" w:rsidP="00A779D7">
      <w:pPr>
        <w:rPr>
          <w:rFonts w:ascii="Arial" w:hAnsi="Arial" w:cs="Arial"/>
          <w:sz w:val="24"/>
          <w:lang w:val="en-US"/>
        </w:rPr>
      </w:pPr>
      <w:r>
        <w:rPr>
          <w:rFonts w:ascii="Arial" w:hAnsi="Arial" w:cs="Arial"/>
          <w:sz w:val="24"/>
          <w:lang w:val="en-US"/>
        </w:rPr>
        <w:t xml:space="preserve">Simon </w:t>
      </w:r>
      <w:proofErr w:type="spellStart"/>
      <w:r>
        <w:rPr>
          <w:rFonts w:ascii="Arial" w:hAnsi="Arial" w:cs="Arial"/>
          <w:sz w:val="24"/>
          <w:lang w:val="en-US"/>
        </w:rPr>
        <w:t>Strautmann</w:t>
      </w:r>
      <w:proofErr w:type="spellEnd"/>
      <w:r>
        <w:rPr>
          <w:rFonts w:ascii="Arial" w:hAnsi="Arial" w:cs="Arial"/>
          <w:sz w:val="24"/>
          <w:lang w:val="en-US"/>
        </w:rPr>
        <w:t xml:space="preserve"> – University of St. Gallen</w:t>
      </w:r>
    </w:p>
    <w:p w14:paraId="1D18B334" w14:textId="77777777" w:rsidR="00A779D7" w:rsidRDefault="00A779D7" w:rsidP="00A779D7">
      <w:pPr>
        <w:rPr>
          <w:rFonts w:ascii="Arial" w:hAnsi="Arial" w:cs="Arial"/>
          <w:sz w:val="24"/>
          <w:lang w:val="en-US"/>
        </w:rPr>
      </w:pPr>
      <w:r>
        <w:rPr>
          <w:rFonts w:ascii="Arial" w:hAnsi="Arial" w:cs="Arial"/>
          <w:sz w:val="24"/>
          <w:lang w:val="en-US"/>
        </w:rPr>
        <w:t>Annette Watzke – Fidelity International</w:t>
      </w:r>
    </w:p>
    <w:p w14:paraId="579FA1D7" w14:textId="77777777" w:rsidR="00A779D7" w:rsidRPr="00A779D7" w:rsidRDefault="00A779D7" w:rsidP="00A779D7">
      <w:pPr>
        <w:rPr>
          <w:rFonts w:ascii="Arial" w:hAnsi="Arial" w:cs="Arial"/>
          <w:sz w:val="24"/>
          <w:lang w:val="en-US"/>
        </w:rPr>
      </w:pPr>
      <w:r>
        <w:rPr>
          <w:rFonts w:ascii="Arial" w:hAnsi="Arial" w:cs="Arial"/>
          <w:sz w:val="24"/>
          <w:lang w:val="en-US"/>
        </w:rPr>
        <w:t xml:space="preserve">Albrecht von </w:t>
      </w:r>
      <w:proofErr w:type="spellStart"/>
      <w:r>
        <w:rPr>
          <w:rFonts w:ascii="Arial" w:hAnsi="Arial" w:cs="Arial"/>
          <w:sz w:val="24"/>
          <w:lang w:val="en-US"/>
        </w:rPr>
        <w:t>Bassewiz</w:t>
      </w:r>
      <w:proofErr w:type="spellEnd"/>
      <w:r>
        <w:rPr>
          <w:rFonts w:ascii="Arial" w:hAnsi="Arial" w:cs="Arial"/>
          <w:sz w:val="24"/>
          <w:lang w:val="en-US"/>
        </w:rPr>
        <w:t xml:space="preserve"> – Fidelity International</w:t>
      </w:r>
    </w:p>
    <w:p w14:paraId="221087AE" w14:textId="77777777" w:rsidR="00A779D7" w:rsidRPr="00A779D7" w:rsidRDefault="00A779D7" w:rsidP="00A779D7">
      <w:pPr>
        <w:rPr>
          <w:rFonts w:ascii="Arial" w:hAnsi="Arial" w:cs="Arial"/>
          <w:b/>
          <w:sz w:val="24"/>
          <w:lang w:val="en-US"/>
        </w:rPr>
      </w:pPr>
      <w:r w:rsidRPr="00A779D7">
        <w:rPr>
          <w:rFonts w:ascii="Arial" w:hAnsi="Arial" w:cs="Arial"/>
          <w:b/>
          <w:sz w:val="24"/>
          <w:lang w:val="en-US"/>
        </w:rPr>
        <w:lastRenderedPageBreak/>
        <w:t>List of Contents</w:t>
      </w:r>
    </w:p>
    <w:p w14:paraId="6F31D821" w14:textId="77777777" w:rsidR="00A779D7" w:rsidRDefault="00A779D7">
      <w:pPr>
        <w:pStyle w:val="TOC1"/>
        <w:tabs>
          <w:tab w:val="right" w:pos="9062"/>
        </w:tabs>
        <w:rPr>
          <w:rFonts w:asciiTheme="minorHAnsi" w:eastAsiaTheme="minorEastAsia" w:hAnsiTheme="minorHAnsi" w:cstheme="minorBidi"/>
          <w:b w:val="0"/>
          <w:bCs w:val="0"/>
          <w:caps w:val="0"/>
          <w:noProof/>
          <w:sz w:val="22"/>
          <w:szCs w:val="22"/>
          <w:lang w:eastAsia="de-CH"/>
        </w:rPr>
      </w:pPr>
      <w:r>
        <w:rPr>
          <w:rFonts w:ascii="Arial" w:hAnsi="Arial" w:cs="Arial"/>
          <w:lang w:val="en-US"/>
        </w:rPr>
        <w:fldChar w:fldCharType="begin"/>
      </w:r>
      <w:r w:rsidRPr="00A779D7">
        <w:rPr>
          <w:rFonts w:ascii="Arial" w:hAnsi="Arial" w:cs="Arial"/>
        </w:rPr>
        <w:instrText xml:space="preserve"> TOC \o "1-2" \h \z \u </w:instrText>
      </w:r>
      <w:r>
        <w:rPr>
          <w:rFonts w:ascii="Arial" w:hAnsi="Arial" w:cs="Arial"/>
          <w:lang w:val="en-US"/>
        </w:rPr>
        <w:fldChar w:fldCharType="separate"/>
      </w:r>
      <w:hyperlink w:anchor="_Toc31449600" w:history="1">
        <w:r w:rsidRPr="00615A87">
          <w:rPr>
            <w:rStyle w:val="Hyperlink"/>
            <w:rFonts w:ascii="Arial" w:hAnsi="Arial" w:cs="Arial"/>
            <w:noProof/>
            <w:lang w:val="en-US"/>
          </w:rPr>
          <w:t>1. Introduction</w:t>
        </w:r>
        <w:r>
          <w:rPr>
            <w:noProof/>
            <w:webHidden/>
          </w:rPr>
          <w:tab/>
        </w:r>
        <w:r>
          <w:rPr>
            <w:noProof/>
            <w:webHidden/>
          </w:rPr>
          <w:fldChar w:fldCharType="begin"/>
        </w:r>
        <w:r>
          <w:rPr>
            <w:noProof/>
            <w:webHidden/>
          </w:rPr>
          <w:instrText xml:space="preserve"> PAGEREF _Toc31449600 \h </w:instrText>
        </w:r>
        <w:r>
          <w:rPr>
            <w:noProof/>
            <w:webHidden/>
          </w:rPr>
        </w:r>
        <w:r>
          <w:rPr>
            <w:noProof/>
            <w:webHidden/>
          </w:rPr>
          <w:fldChar w:fldCharType="separate"/>
        </w:r>
        <w:r>
          <w:rPr>
            <w:noProof/>
            <w:webHidden/>
          </w:rPr>
          <w:t>2</w:t>
        </w:r>
        <w:r>
          <w:rPr>
            <w:noProof/>
            <w:webHidden/>
          </w:rPr>
          <w:fldChar w:fldCharType="end"/>
        </w:r>
      </w:hyperlink>
    </w:p>
    <w:p w14:paraId="663D537C" w14:textId="77777777" w:rsidR="00A779D7" w:rsidRDefault="00055420">
      <w:pPr>
        <w:pStyle w:val="TOC1"/>
        <w:tabs>
          <w:tab w:val="right" w:pos="9062"/>
        </w:tabs>
        <w:rPr>
          <w:rFonts w:asciiTheme="minorHAnsi" w:eastAsiaTheme="minorEastAsia" w:hAnsiTheme="minorHAnsi" w:cstheme="minorBidi"/>
          <w:b w:val="0"/>
          <w:bCs w:val="0"/>
          <w:caps w:val="0"/>
          <w:noProof/>
          <w:sz w:val="22"/>
          <w:szCs w:val="22"/>
          <w:lang w:eastAsia="de-CH"/>
        </w:rPr>
      </w:pPr>
      <w:hyperlink w:anchor="_Toc31449601" w:history="1">
        <w:r w:rsidR="00A779D7" w:rsidRPr="00615A87">
          <w:rPr>
            <w:rStyle w:val="Hyperlink"/>
            <w:rFonts w:ascii="Arial" w:hAnsi="Arial" w:cs="Arial"/>
            <w:noProof/>
            <w:lang w:val="en-US"/>
          </w:rPr>
          <w:t>2. Literature Overview</w:t>
        </w:r>
        <w:r w:rsidR="00A779D7">
          <w:rPr>
            <w:noProof/>
            <w:webHidden/>
          </w:rPr>
          <w:tab/>
        </w:r>
        <w:r w:rsidR="00A779D7">
          <w:rPr>
            <w:noProof/>
            <w:webHidden/>
          </w:rPr>
          <w:fldChar w:fldCharType="begin"/>
        </w:r>
        <w:r w:rsidR="00A779D7">
          <w:rPr>
            <w:noProof/>
            <w:webHidden/>
          </w:rPr>
          <w:instrText xml:space="preserve"> PAGEREF _Toc31449601 \h </w:instrText>
        </w:r>
        <w:r w:rsidR="00A779D7">
          <w:rPr>
            <w:noProof/>
            <w:webHidden/>
          </w:rPr>
        </w:r>
        <w:r w:rsidR="00A779D7">
          <w:rPr>
            <w:noProof/>
            <w:webHidden/>
          </w:rPr>
          <w:fldChar w:fldCharType="separate"/>
        </w:r>
        <w:r w:rsidR="00A779D7">
          <w:rPr>
            <w:noProof/>
            <w:webHidden/>
          </w:rPr>
          <w:t>2</w:t>
        </w:r>
        <w:r w:rsidR="00A779D7">
          <w:rPr>
            <w:noProof/>
            <w:webHidden/>
          </w:rPr>
          <w:fldChar w:fldCharType="end"/>
        </w:r>
      </w:hyperlink>
    </w:p>
    <w:p w14:paraId="59B8B2A8" w14:textId="77777777" w:rsidR="00A779D7" w:rsidRDefault="00055420">
      <w:pPr>
        <w:pStyle w:val="TOC1"/>
        <w:tabs>
          <w:tab w:val="right" w:pos="9062"/>
        </w:tabs>
        <w:rPr>
          <w:rFonts w:asciiTheme="minorHAnsi" w:eastAsiaTheme="minorEastAsia" w:hAnsiTheme="minorHAnsi" w:cstheme="minorBidi"/>
          <w:b w:val="0"/>
          <w:bCs w:val="0"/>
          <w:caps w:val="0"/>
          <w:noProof/>
          <w:sz w:val="22"/>
          <w:szCs w:val="22"/>
          <w:lang w:eastAsia="de-CH"/>
        </w:rPr>
      </w:pPr>
      <w:hyperlink w:anchor="_Toc31449602" w:history="1">
        <w:r w:rsidR="00A779D7" w:rsidRPr="00615A87">
          <w:rPr>
            <w:rStyle w:val="Hyperlink"/>
            <w:rFonts w:ascii="Arial" w:hAnsi="Arial" w:cs="Arial"/>
            <w:noProof/>
            <w:lang w:val="en-US"/>
          </w:rPr>
          <w:t>3. Data</w:t>
        </w:r>
        <w:r w:rsidR="00A779D7">
          <w:rPr>
            <w:noProof/>
            <w:webHidden/>
          </w:rPr>
          <w:tab/>
        </w:r>
        <w:r w:rsidR="00A779D7">
          <w:rPr>
            <w:noProof/>
            <w:webHidden/>
          </w:rPr>
          <w:fldChar w:fldCharType="begin"/>
        </w:r>
        <w:r w:rsidR="00A779D7">
          <w:rPr>
            <w:noProof/>
            <w:webHidden/>
          </w:rPr>
          <w:instrText xml:space="preserve"> PAGEREF _Toc31449602 \h </w:instrText>
        </w:r>
        <w:r w:rsidR="00A779D7">
          <w:rPr>
            <w:noProof/>
            <w:webHidden/>
          </w:rPr>
        </w:r>
        <w:r w:rsidR="00A779D7">
          <w:rPr>
            <w:noProof/>
            <w:webHidden/>
          </w:rPr>
          <w:fldChar w:fldCharType="separate"/>
        </w:r>
        <w:r w:rsidR="00A779D7">
          <w:rPr>
            <w:noProof/>
            <w:webHidden/>
          </w:rPr>
          <w:t>2</w:t>
        </w:r>
        <w:r w:rsidR="00A779D7">
          <w:rPr>
            <w:noProof/>
            <w:webHidden/>
          </w:rPr>
          <w:fldChar w:fldCharType="end"/>
        </w:r>
      </w:hyperlink>
    </w:p>
    <w:p w14:paraId="1DAAC57A" w14:textId="77777777" w:rsidR="00A779D7" w:rsidRDefault="00055420">
      <w:pPr>
        <w:pStyle w:val="TOC1"/>
        <w:tabs>
          <w:tab w:val="right" w:pos="9062"/>
        </w:tabs>
        <w:rPr>
          <w:rFonts w:asciiTheme="minorHAnsi" w:eastAsiaTheme="minorEastAsia" w:hAnsiTheme="minorHAnsi" w:cstheme="minorBidi"/>
          <w:b w:val="0"/>
          <w:bCs w:val="0"/>
          <w:caps w:val="0"/>
          <w:noProof/>
          <w:sz w:val="22"/>
          <w:szCs w:val="22"/>
          <w:lang w:eastAsia="de-CH"/>
        </w:rPr>
      </w:pPr>
      <w:hyperlink w:anchor="_Toc31449603" w:history="1">
        <w:r w:rsidR="00A779D7" w:rsidRPr="00615A87">
          <w:rPr>
            <w:rStyle w:val="Hyperlink"/>
            <w:rFonts w:ascii="Arial" w:hAnsi="Arial" w:cs="Arial"/>
            <w:noProof/>
            <w:lang w:val="en-US"/>
          </w:rPr>
          <w:t>4. Methodology</w:t>
        </w:r>
        <w:r w:rsidR="00A779D7">
          <w:rPr>
            <w:noProof/>
            <w:webHidden/>
          </w:rPr>
          <w:tab/>
        </w:r>
        <w:r w:rsidR="00A779D7">
          <w:rPr>
            <w:noProof/>
            <w:webHidden/>
          </w:rPr>
          <w:fldChar w:fldCharType="begin"/>
        </w:r>
        <w:r w:rsidR="00A779D7">
          <w:rPr>
            <w:noProof/>
            <w:webHidden/>
          </w:rPr>
          <w:instrText xml:space="preserve"> PAGEREF _Toc31449603 \h </w:instrText>
        </w:r>
        <w:r w:rsidR="00A779D7">
          <w:rPr>
            <w:noProof/>
            <w:webHidden/>
          </w:rPr>
        </w:r>
        <w:r w:rsidR="00A779D7">
          <w:rPr>
            <w:noProof/>
            <w:webHidden/>
          </w:rPr>
          <w:fldChar w:fldCharType="separate"/>
        </w:r>
        <w:r w:rsidR="00A779D7">
          <w:rPr>
            <w:noProof/>
            <w:webHidden/>
          </w:rPr>
          <w:t>2</w:t>
        </w:r>
        <w:r w:rsidR="00A779D7">
          <w:rPr>
            <w:noProof/>
            <w:webHidden/>
          </w:rPr>
          <w:fldChar w:fldCharType="end"/>
        </w:r>
      </w:hyperlink>
    </w:p>
    <w:p w14:paraId="3B66A91F" w14:textId="77777777" w:rsidR="00A779D7" w:rsidRDefault="00055420">
      <w:pPr>
        <w:pStyle w:val="TOC1"/>
        <w:tabs>
          <w:tab w:val="right" w:pos="9062"/>
        </w:tabs>
        <w:rPr>
          <w:rFonts w:asciiTheme="minorHAnsi" w:eastAsiaTheme="minorEastAsia" w:hAnsiTheme="minorHAnsi" w:cstheme="minorBidi"/>
          <w:b w:val="0"/>
          <w:bCs w:val="0"/>
          <w:caps w:val="0"/>
          <w:noProof/>
          <w:sz w:val="22"/>
          <w:szCs w:val="22"/>
          <w:lang w:eastAsia="de-CH"/>
        </w:rPr>
      </w:pPr>
      <w:hyperlink w:anchor="_Toc31449604" w:history="1">
        <w:r w:rsidR="00A779D7" w:rsidRPr="00615A87">
          <w:rPr>
            <w:rStyle w:val="Hyperlink"/>
            <w:rFonts w:ascii="Arial" w:hAnsi="Arial" w:cs="Arial"/>
            <w:noProof/>
            <w:lang w:val="en-US"/>
          </w:rPr>
          <w:t>5. Results</w:t>
        </w:r>
        <w:r w:rsidR="00A779D7">
          <w:rPr>
            <w:noProof/>
            <w:webHidden/>
          </w:rPr>
          <w:tab/>
        </w:r>
        <w:r w:rsidR="00A779D7">
          <w:rPr>
            <w:noProof/>
            <w:webHidden/>
          </w:rPr>
          <w:fldChar w:fldCharType="begin"/>
        </w:r>
        <w:r w:rsidR="00A779D7">
          <w:rPr>
            <w:noProof/>
            <w:webHidden/>
          </w:rPr>
          <w:instrText xml:space="preserve"> PAGEREF _Toc31449604 \h </w:instrText>
        </w:r>
        <w:r w:rsidR="00A779D7">
          <w:rPr>
            <w:noProof/>
            <w:webHidden/>
          </w:rPr>
        </w:r>
        <w:r w:rsidR="00A779D7">
          <w:rPr>
            <w:noProof/>
            <w:webHidden/>
          </w:rPr>
          <w:fldChar w:fldCharType="separate"/>
        </w:r>
        <w:r w:rsidR="00A779D7">
          <w:rPr>
            <w:noProof/>
            <w:webHidden/>
          </w:rPr>
          <w:t>2</w:t>
        </w:r>
        <w:r w:rsidR="00A779D7">
          <w:rPr>
            <w:noProof/>
            <w:webHidden/>
          </w:rPr>
          <w:fldChar w:fldCharType="end"/>
        </w:r>
      </w:hyperlink>
    </w:p>
    <w:p w14:paraId="6C72CEE5" w14:textId="77777777" w:rsidR="00A779D7" w:rsidRDefault="00055420">
      <w:pPr>
        <w:pStyle w:val="TOC1"/>
        <w:tabs>
          <w:tab w:val="right" w:pos="9062"/>
        </w:tabs>
        <w:rPr>
          <w:rFonts w:asciiTheme="minorHAnsi" w:eastAsiaTheme="minorEastAsia" w:hAnsiTheme="minorHAnsi" w:cstheme="minorBidi"/>
          <w:b w:val="0"/>
          <w:bCs w:val="0"/>
          <w:caps w:val="0"/>
          <w:noProof/>
          <w:sz w:val="22"/>
          <w:szCs w:val="22"/>
          <w:lang w:eastAsia="de-CH"/>
        </w:rPr>
      </w:pPr>
      <w:hyperlink w:anchor="_Toc31449605" w:history="1">
        <w:r w:rsidR="00A779D7" w:rsidRPr="00615A87">
          <w:rPr>
            <w:rStyle w:val="Hyperlink"/>
            <w:rFonts w:ascii="Arial" w:hAnsi="Arial" w:cs="Arial"/>
            <w:noProof/>
          </w:rPr>
          <w:t>6. Conclusion</w:t>
        </w:r>
        <w:r w:rsidR="00A779D7">
          <w:rPr>
            <w:noProof/>
            <w:webHidden/>
          </w:rPr>
          <w:tab/>
        </w:r>
        <w:r w:rsidR="00A779D7">
          <w:rPr>
            <w:noProof/>
            <w:webHidden/>
          </w:rPr>
          <w:fldChar w:fldCharType="begin"/>
        </w:r>
        <w:r w:rsidR="00A779D7">
          <w:rPr>
            <w:noProof/>
            <w:webHidden/>
          </w:rPr>
          <w:instrText xml:space="preserve"> PAGEREF _Toc31449605 \h </w:instrText>
        </w:r>
        <w:r w:rsidR="00A779D7">
          <w:rPr>
            <w:noProof/>
            <w:webHidden/>
          </w:rPr>
        </w:r>
        <w:r w:rsidR="00A779D7">
          <w:rPr>
            <w:noProof/>
            <w:webHidden/>
          </w:rPr>
          <w:fldChar w:fldCharType="separate"/>
        </w:r>
        <w:r w:rsidR="00A779D7">
          <w:rPr>
            <w:noProof/>
            <w:webHidden/>
          </w:rPr>
          <w:t>2</w:t>
        </w:r>
        <w:r w:rsidR="00A779D7">
          <w:rPr>
            <w:noProof/>
            <w:webHidden/>
          </w:rPr>
          <w:fldChar w:fldCharType="end"/>
        </w:r>
      </w:hyperlink>
    </w:p>
    <w:p w14:paraId="0B780FB8" w14:textId="77777777" w:rsidR="00A779D7" w:rsidRDefault="00055420">
      <w:pPr>
        <w:pStyle w:val="TOC1"/>
        <w:tabs>
          <w:tab w:val="right" w:pos="9062"/>
        </w:tabs>
        <w:rPr>
          <w:rFonts w:asciiTheme="minorHAnsi" w:eastAsiaTheme="minorEastAsia" w:hAnsiTheme="minorHAnsi" w:cstheme="minorBidi"/>
          <w:b w:val="0"/>
          <w:bCs w:val="0"/>
          <w:caps w:val="0"/>
          <w:noProof/>
          <w:sz w:val="22"/>
          <w:szCs w:val="22"/>
          <w:lang w:eastAsia="de-CH"/>
        </w:rPr>
      </w:pPr>
      <w:hyperlink w:anchor="_Toc31449606" w:history="1">
        <w:r w:rsidR="00A779D7" w:rsidRPr="00615A87">
          <w:rPr>
            <w:rStyle w:val="Hyperlink"/>
            <w:rFonts w:ascii="Arial" w:hAnsi="Arial" w:cs="Arial"/>
            <w:noProof/>
          </w:rPr>
          <w:t>Appendix</w:t>
        </w:r>
        <w:r w:rsidR="00A779D7">
          <w:rPr>
            <w:noProof/>
            <w:webHidden/>
          </w:rPr>
          <w:tab/>
        </w:r>
        <w:r w:rsidR="00A779D7">
          <w:rPr>
            <w:noProof/>
            <w:webHidden/>
          </w:rPr>
          <w:fldChar w:fldCharType="begin"/>
        </w:r>
        <w:r w:rsidR="00A779D7">
          <w:rPr>
            <w:noProof/>
            <w:webHidden/>
          </w:rPr>
          <w:instrText xml:space="preserve"> PAGEREF _Toc31449606 \h </w:instrText>
        </w:r>
        <w:r w:rsidR="00A779D7">
          <w:rPr>
            <w:noProof/>
            <w:webHidden/>
          </w:rPr>
        </w:r>
        <w:r w:rsidR="00A779D7">
          <w:rPr>
            <w:noProof/>
            <w:webHidden/>
          </w:rPr>
          <w:fldChar w:fldCharType="separate"/>
        </w:r>
        <w:r w:rsidR="00A779D7">
          <w:rPr>
            <w:noProof/>
            <w:webHidden/>
          </w:rPr>
          <w:t>2</w:t>
        </w:r>
        <w:r w:rsidR="00A779D7">
          <w:rPr>
            <w:noProof/>
            <w:webHidden/>
          </w:rPr>
          <w:fldChar w:fldCharType="end"/>
        </w:r>
      </w:hyperlink>
    </w:p>
    <w:p w14:paraId="17FFC84F" w14:textId="77777777" w:rsidR="00A779D7" w:rsidRDefault="00A779D7" w:rsidP="00A779D7">
      <w:pPr>
        <w:rPr>
          <w:rFonts w:ascii="Arial" w:hAnsi="Arial" w:cs="Arial"/>
          <w:sz w:val="24"/>
          <w:lang w:val="en-US"/>
        </w:rPr>
      </w:pPr>
      <w:r>
        <w:rPr>
          <w:rFonts w:ascii="Arial" w:hAnsi="Arial" w:cs="Arial"/>
          <w:sz w:val="24"/>
          <w:lang w:val="en-US"/>
        </w:rPr>
        <w:fldChar w:fldCharType="end"/>
      </w:r>
    </w:p>
    <w:p w14:paraId="4AB43698" w14:textId="77777777" w:rsidR="00A779D7" w:rsidRDefault="00A779D7" w:rsidP="00A779D7">
      <w:pPr>
        <w:rPr>
          <w:rFonts w:ascii="Arial" w:hAnsi="Arial" w:cs="Arial"/>
          <w:sz w:val="24"/>
          <w:lang w:val="en-US"/>
        </w:rPr>
      </w:pPr>
    </w:p>
    <w:p w14:paraId="7E9F5263" w14:textId="77777777" w:rsidR="00A779D7" w:rsidRDefault="00A779D7" w:rsidP="00A779D7">
      <w:pPr>
        <w:rPr>
          <w:rFonts w:ascii="Arial" w:hAnsi="Arial" w:cs="Arial"/>
          <w:sz w:val="24"/>
          <w:lang w:val="en-US"/>
        </w:rPr>
      </w:pPr>
    </w:p>
    <w:p w14:paraId="412892C1" w14:textId="77777777" w:rsidR="00A779D7" w:rsidRDefault="00A779D7" w:rsidP="00A779D7">
      <w:pPr>
        <w:rPr>
          <w:rFonts w:ascii="Arial" w:hAnsi="Arial" w:cs="Arial"/>
          <w:sz w:val="24"/>
          <w:lang w:val="en-US"/>
        </w:rPr>
      </w:pPr>
    </w:p>
    <w:p w14:paraId="4C92DA71" w14:textId="77777777" w:rsidR="00A779D7" w:rsidRDefault="00A779D7" w:rsidP="00A779D7">
      <w:pPr>
        <w:rPr>
          <w:rFonts w:ascii="Arial" w:hAnsi="Arial" w:cs="Arial"/>
          <w:sz w:val="24"/>
          <w:lang w:val="en-US"/>
        </w:rPr>
      </w:pPr>
    </w:p>
    <w:p w14:paraId="38D30335" w14:textId="77777777" w:rsidR="00A779D7" w:rsidRDefault="00A779D7" w:rsidP="00A779D7">
      <w:pPr>
        <w:rPr>
          <w:rFonts w:ascii="Arial" w:hAnsi="Arial" w:cs="Arial"/>
          <w:sz w:val="24"/>
          <w:lang w:val="en-US"/>
        </w:rPr>
      </w:pPr>
    </w:p>
    <w:p w14:paraId="122EE026" w14:textId="77777777" w:rsidR="00A779D7" w:rsidRDefault="00A779D7" w:rsidP="00A779D7">
      <w:pPr>
        <w:rPr>
          <w:rFonts w:ascii="Arial" w:hAnsi="Arial" w:cs="Arial"/>
          <w:sz w:val="24"/>
          <w:lang w:val="en-US"/>
        </w:rPr>
      </w:pPr>
    </w:p>
    <w:p w14:paraId="2B59C7C1" w14:textId="77777777" w:rsidR="00A779D7" w:rsidRDefault="00A779D7" w:rsidP="00A779D7">
      <w:pPr>
        <w:rPr>
          <w:rFonts w:ascii="Arial" w:hAnsi="Arial" w:cs="Arial"/>
          <w:sz w:val="24"/>
          <w:lang w:val="en-US"/>
        </w:rPr>
      </w:pPr>
    </w:p>
    <w:p w14:paraId="2E510890" w14:textId="77777777" w:rsidR="00A779D7" w:rsidRDefault="00A779D7" w:rsidP="00A779D7">
      <w:pPr>
        <w:rPr>
          <w:rFonts w:ascii="Arial" w:hAnsi="Arial" w:cs="Arial"/>
          <w:sz w:val="24"/>
          <w:lang w:val="en-US"/>
        </w:rPr>
      </w:pPr>
    </w:p>
    <w:p w14:paraId="75C240CB" w14:textId="77777777" w:rsidR="00A779D7" w:rsidRDefault="00A779D7" w:rsidP="00A779D7">
      <w:pPr>
        <w:rPr>
          <w:rFonts w:ascii="Arial" w:hAnsi="Arial" w:cs="Arial"/>
          <w:sz w:val="24"/>
          <w:lang w:val="en-US"/>
        </w:rPr>
      </w:pPr>
    </w:p>
    <w:p w14:paraId="383CACB3" w14:textId="77777777" w:rsidR="00B5335A" w:rsidRDefault="00B5335A" w:rsidP="00A779D7">
      <w:pPr>
        <w:rPr>
          <w:rFonts w:ascii="Arial" w:hAnsi="Arial" w:cs="Arial"/>
          <w:sz w:val="24"/>
          <w:lang w:val="en-US"/>
        </w:rPr>
      </w:pPr>
    </w:p>
    <w:p w14:paraId="0ABA19BC" w14:textId="77777777" w:rsidR="00B5335A" w:rsidRDefault="00B5335A" w:rsidP="00A779D7">
      <w:pPr>
        <w:rPr>
          <w:rFonts w:ascii="Arial" w:hAnsi="Arial" w:cs="Arial"/>
          <w:sz w:val="24"/>
          <w:lang w:val="en-US"/>
        </w:rPr>
      </w:pPr>
    </w:p>
    <w:p w14:paraId="2079F872" w14:textId="77777777" w:rsidR="00B5335A" w:rsidRDefault="00B5335A" w:rsidP="00A779D7">
      <w:pPr>
        <w:rPr>
          <w:rFonts w:ascii="Arial" w:hAnsi="Arial" w:cs="Arial"/>
          <w:sz w:val="24"/>
          <w:lang w:val="en-US"/>
        </w:rPr>
      </w:pPr>
    </w:p>
    <w:p w14:paraId="023CFB45" w14:textId="77777777" w:rsidR="00B5335A" w:rsidRDefault="00B5335A" w:rsidP="00A779D7">
      <w:pPr>
        <w:rPr>
          <w:rFonts w:ascii="Arial" w:hAnsi="Arial" w:cs="Arial"/>
          <w:sz w:val="24"/>
          <w:lang w:val="en-US"/>
        </w:rPr>
      </w:pPr>
    </w:p>
    <w:p w14:paraId="78802EF9" w14:textId="77777777" w:rsidR="00B5335A" w:rsidRDefault="00B5335A" w:rsidP="00A779D7">
      <w:pPr>
        <w:rPr>
          <w:rFonts w:ascii="Arial" w:hAnsi="Arial" w:cs="Arial"/>
          <w:sz w:val="24"/>
          <w:lang w:val="en-US"/>
        </w:rPr>
      </w:pPr>
    </w:p>
    <w:p w14:paraId="68970D67" w14:textId="77777777" w:rsidR="00B5335A" w:rsidRDefault="00B5335A" w:rsidP="00A779D7">
      <w:pPr>
        <w:rPr>
          <w:rFonts w:ascii="Arial" w:hAnsi="Arial" w:cs="Arial"/>
          <w:sz w:val="24"/>
          <w:lang w:val="en-US"/>
        </w:rPr>
      </w:pPr>
    </w:p>
    <w:p w14:paraId="05EA1E6F" w14:textId="77777777" w:rsidR="00B5335A" w:rsidRDefault="00B5335A" w:rsidP="00A779D7">
      <w:pPr>
        <w:rPr>
          <w:rFonts w:ascii="Arial" w:hAnsi="Arial" w:cs="Arial"/>
          <w:sz w:val="24"/>
          <w:lang w:val="en-US"/>
        </w:rPr>
      </w:pPr>
    </w:p>
    <w:p w14:paraId="019E3F07" w14:textId="77777777" w:rsidR="00B5335A" w:rsidRDefault="00B5335A" w:rsidP="00A779D7">
      <w:pPr>
        <w:rPr>
          <w:rFonts w:ascii="Arial" w:hAnsi="Arial" w:cs="Arial"/>
          <w:sz w:val="24"/>
          <w:lang w:val="en-US"/>
        </w:rPr>
      </w:pPr>
    </w:p>
    <w:p w14:paraId="2EE49396" w14:textId="77777777" w:rsidR="00A779D7" w:rsidRDefault="00A779D7" w:rsidP="00A779D7">
      <w:pPr>
        <w:outlineLvl w:val="0"/>
        <w:rPr>
          <w:rFonts w:ascii="Arial" w:hAnsi="Arial" w:cs="Arial"/>
          <w:b/>
          <w:sz w:val="24"/>
          <w:lang w:val="en-US"/>
        </w:rPr>
      </w:pPr>
      <w:bookmarkStart w:id="0" w:name="_Toc31449600"/>
      <w:r w:rsidRPr="00A779D7">
        <w:rPr>
          <w:rFonts w:ascii="Arial" w:hAnsi="Arial" w:cs="Arial"/>
          <w:b/>
          <w:sz w:val="24"/>
          <w:lang w:val="en-US"/>
        </w:rPr>
        <w:lastRenderedPageBreak/>
        <w:t>1. Introduction</w:t>
      </w:r>
      <w:bookmarkEnd w:id="0"/>
    </w:p>
    <w:p w14:paraId="11FEA322" w14:textId="6D6C2D35" w:rsidR="006C66F4" w:rsidRDefault="00B5335A" w:rsidP="00F372FA">
      <w:pPr>
        <w:spacing w:line="360" w:lineRule="auto"/>
        <w:rPr>
          <w:rFonts w:ascii="Arial" w:hAnsi="Arial" w:cs="Arial"/>
          <w:sz w:val="24"/>
          <w:lang w:val="en-US"/>
        </w:rPr>
      </w:pPr>
      <w:r>
        <w:rPr>
          <w:rFonts w:ascii="Arial" w:hAnsi="Arial" w:cs="Arial"/>
          <w:sz w:val="24"/>
          <w:lang w:val="en-US"/>
        </w:rPr>
        <w:t>According to the Investment Company Institute (ICI</w:t>
      </w:r>
      <w:r w:rsidR="004A3458">
        <w:rPr>
          <w:rFonts w:ascii="Arial" w:hAnsi="Arial" w:cs="Arial"/>
          <w:sz w:val="24"/>
          <w:lang w:val="en-US"/>
        </w:rPr>
        <w:t xml:space="preserve">  2018</w:t>
      </w:r>
      <w:r>
        <w:rPr>
          <w:rFonts w:ascii="Arial" w:hAnsi="Arial" w:cs="Arial"/>
          <w:sz w:val="24"/>
          <w:lang w:val="en-US"/>
        </w:rPr>
        <w:t xml:space="preserve">), the total net assets of regulated open-end funds added up to $46.7 trillion at the end of 2018. The largest share of that number with $19.9. trillion fell under the umbrella of equity funds. The biggest market for mutual funds has historically been the US Mutual Funds market and it still is with total net assets of $17.7 trillion in 2018, 52% of which fall under the umbrella of equities. The ICI calculated the annual asset-weighted average expense ratio for these US equity mutual funds to be 0.55%. Considering these numbers, one notices that mutual fund managers earn substantial revenue for their mandate to invest on their clients’ behalf. </w:t>
      </w:r>
      <w:r w:rsidR="007B71E2">
        <w:rPr>
          <w:rFonts w:ascii="Arial" w:hAnsi="Arial" w:cs="Arial"/>
          <w:sz w:val="24"/>
          <w:lang w:val="en-US"/>
        </w:rPr>
        <w:t xml:space="preserve">For this reason, investors and researchers around the world have questioned for decades whether active mutual fund managers have superior skill and knowledge that results in gross returns that are higher than those of passive benchmarks such as index funds in a manner so that their higher charges are at the very least offset. Research on this topic has historically shown mixed results, but results show negative performance alphas of mutual funds more often than positive ones. Sharpe (1966), Jensen (1968), Elton et al. (1993) and Carhart (1997) are among many famous </w:t>
      </w:r>
      <w:proofErr w:type="gramStart"/>
      <w:r w:rsidR="007B71E2">
        <w:rPr>
          <w:rFonts w:ascii="Arial" w:hAnsi="Arial" w:cs="Arial"/>
          <w:sz w:val="24"/>
          <w:lang w:val="en-US"/>
        </w:rPr>
        <w:t>publication</w:t>
      </w:r>
      <w:proofErr w:type="gramEnd"/>
      <w:r w:rsidR="007B71E2">
        <w:rPr>
          <w:rFonts w:ascii="Arial" w:hAnsi="Arial" w:cs="Arial"/>
          <w:sz w:val="24"/>
          <w:lang w:val="en-US"/>
        </w:rPr>
        <w:t xml:space="preserve"> that </w:t>
      </w:r>
      <w:r w:rsidR="004A3458">
        <w:rPr>
          <w:rFonts w:ascii="Arial" w:hAnsi="Arial" w:cs="Arial"/>
          <w:sz w:val="24"/>
          <w:lang w:val="en-US"/>
        </w:rPr>
        <w:t>find</w:t>
      </w:r>
      <w:r w:rsidR="007B71E2">
        <w:rPr>
          <w:rFonts w:ascii="Arial" w:hAnsi="Arial" w:cs="Arial"/>
          <w:sz w:val="24"/>
          <w:lang w:val="en-US"/>
        </w:rPr>
        <w:t xml:space="preserve"> overall worse performance of mutual fund performance after fees versus a passive index benchmark. Today, the S&amp;P DJI publishes the “S&amp;P INDICES VERSIS ACTIVE” (SPIVA) Scorecards to inform investors whether to invest in active funds or passive ETF alternatives. The SPIVA Scorecards show semi-annually how many percent of funds outperform their appropriate benchmark. Consistent with </w:t>
      </w:r>
      <w:r w:rsidR="00CF161B">
        <w:rPr>
          <w:rFonts w:ascii="Arial" w:hAnsi="Arial" w:cs="Arial"/>
          <w:sz w:val="24"/>
          <w:lang w:val="en-US"/>
        </w:rPr>
        <w:t>most of the</w:t>
      </w:r>
      <w:r w:rsidR="007B71E2">
        <w:rPr>
          <w:rFonts w:ascii="Arial" w:hAnsi="Arial" w:cs="Arial"/>
          <w:sz w:val="24"/>
          <w:lang w:val="en-US"/>
        </w:rPr>
        <w:t xml:space="preserve"> academic research, the most recent SPIVA for June 2019 indicates that around 70% of actively managed US large cap funds underperformed the S&amp;P 500. This number gets worse for the active mutual fund managers for longer time horizons, indicating that those funds that do not underperform in one period do not have persistent skill to repeat this achievement over the next years. While SPIVA covers many regions and countries, China and other emerging markets in Asia (except India) are not included. This seminar paper sheds light on the performance of the mutual funds </w:t>
      </w:r>
      <w:r w:rsidR="005515A2">
        <w:rPr>
          <w:rFonts w:ascii="Arial" w:hAnsi="Arial" w:cs="Arial"/>
          <w:sz w:val="24"/>
          <w:lang w:val="en-US"/>
        </w:rPr>
        <w:t xml:space="preserve">invested in those areas. </w:t>
      </w:r>
      <w:r w:rsidR="0022486F">
        <w:rPr>
          <w:rFonts w:ascii="Arial" w:hAnsi="Arial" w:cs="Arial"/>
          <w:sz w:val="24"/>
          <w:lang w:val="en-US"/>
        </w:rPr>
        <w:t xml:space="preserve">The study examines </w:t>
      </w:r>
      <w:r w:rsidR="005B62C5">
        <w:rPr>
          <w:rFonts w:ascii="Arial" w:hAnsi="Arial" w:cs="Arial"/>
          <w:sz w:val="24"/>
          <w:lang w:val="en-US"/>
        </w:rPr>
        <w:t>all ope</w:t>
      </w:r>
      <w:r w:rsidR="0022486F">
        <w:rPr>
          <w:rFonts w:ascii="Arial" w:hAnsi="Arial" w:cs="Arial"/>
          <w:sz w:val="24"/>
          <w:lang w:val="en-US"/>
        </w:rPr>
        <w:t>n-end funds listed in Morningstar under the global category “</w:t>
      </w:r>
      <w:r w:rsidR="004A3458">
        <w:rPr>
          <w:rFonts w:ascii="Arial" w:hAnsi="Arial" w:cs="Arial"/>
          <w:sz w:val="24"/>
          <w:lang w:val="en-US"/>
        </w:rPr>
        <w:t>E</w:t>
      </w:r>
      <w:r w:rsidR="0022486F">
        <w:rPr>
          <w:rFonts w:ascii="Arial" w:hAnsi="Arial" w:cs="Arial"/>
          <w:sz w:val="24"/>
          <w:lang w:val="en-US"/>
        </w:rPr>
        <w:t xml:space="preserve">quity” and the investment areas China, India, Asia </w:t>
      </w:r>
      <w:r w:rsidR="00473BD4">
        <w:rPr>
          <w:rFonts w:ascii="Arial" w:hAnsi="Arial" w:cs="Arial"/>
          <w:sz w:val="24"/>
          <w:lang w:val="en-US"/>
        </w:rPr>
        <w:t>Pacific</w:t>
      </w:r>
      <w:r w:rsidR="0022486F">
        <w:rPr>
          <w:rFonts w:ascii="Arial" w:hAnsi="Arial" w:cs="Arial"/>
          <w:sz w:val="24"/>
          <w:lang w:val="en-US"/>
        </w:rPr>
        <w:t xml:space="preserve"> ex Japan</w:t>
      </w:r>
      <w:r w:rsidR="004A3458">
        <w:rPr>
          <w:rFonts w:ascii="Arial" w:hAnsi="Arial" w:cs="Arial"/>
          <w:sz w:val="24"/>
          <w:lang w:val="en-US"/>
        </w:rPr>
        <w:t>, Asia Pacific ex Japan ex Australia,</w:t>
      </w:r>
      <w:r w:rsidR="0022486F">
        <w:rPr>
          <w:rFonts w:ascii="Arial" w:hAnsi="Arial" w:cs="Arial"/>
          <w:sz w:val="24"/>
          <w:lang w:val="en-US"/>
        </w:rPr>
        <w:t xml:space="preserve"> and Asia Emerging Markets.</w:t>
      </w:r>
      <w:r w:rsidR="006C66F4">
        <w:rPr>
          <w:rFonts w:ascii="Arial" w:hAnsi="Arial" w:cs="Arial"/>
          <w:sz w:val="24"/>
          <w:lang w:val="en-US"/>
        </w:rPr>
        <w:t xml:space="preserve"> </w:t>
      </w:r>
      <w:r w:rsidR="00055420">
        <w:rPr>
          <w:rFonts w:ascii="Arial" w:hAnsi="Arial" w:cs="Arial"/>
          <w:sz w:val="24"/>
          <w:lang w:val="en-US"/>
        </w:rPr>
        <w:t>First,</w:t>
      </w:r>
      <w:r w:rsidR="006C66F4">
        <w:rPr>
          <w:rFonts w:ascii="Arial" w:hAnsi="Arial" w:cs="Arial"/>
          <w:sz w:val="24"/>
          <w:lang w:val="en-US"/>
        </w:rPr>
        <w:t xml:space="preserve"> we use the CAPM model, the three and five factor model of </w:t>
      </w:r>
      <w:proofErr w:type="spellStart"/>
      <w:r w:rsidR="006C66F4">
        <w:rPr>
          <w:rFonts w:ascii="Arial" w:hAnsi="Arial" w:cs="Arial"/>
          <w:sz w:val="24"/>
          <w:lang w:val="en-US"/>
        </w:rPr>
        <w:t>Fama</w:t>
      </w:r>
      <w:proofErr w:type="spellEnd"/>
      <w:r w:rsidR="006C66F4">
        <w:rPr>
          <w:rFonts w:ascii="Arial" w:hAnsi="Arial" w:cs="Arial"/>
          <w:sz w:val="24"/>
          <w:lang w:val="en-US"/>
        </w:rPr>
        <w:t xml:space="preserve"> and French and the </w:t>
      </w:r>
      <w:r w:rsidR="00055420">
        <w:rPr>
          <w:rFonts w:ascii="Arial" w:hAnsi="Arial" w:cs="Arial"/>
          <w:sz w:val="24"/>
          <w:lang w:val="en-US"/>
        </w:rPr>
        <w:t xml:space="preserve">Carhart </w:t>
      </w:r>
      <w:r w:rsidR="006C66F4">
        <w:rPr>
          <w:rFonts w:ascii="Arial" w:hAnsi="Arial" w:cs="Arial"/>
          <w:sz w:val="24"/>
          <w:lang w:val="en-US"/>
        </w:rPr>
        <w:t xml:space="preserve">four factor model to get </w:t>
      </w:r>
      <w:r w:rsidR="00055420">
        <w:rPr>
          <w:rFonts w:ascii="Arial" w:hAnsi="Arial" w:cs="Arial"/>
          <w:sz w:val="24"/>
          <w:lang w:val="en-US"/>
        </w:rPr>
        <w:t>investment region-wide</w:t>
      </w:r>
      <w:r w:rsidR="006C66F4">
        <w:rPr>
          <w:rFonts w:ascii="Arial" w:hAnsi="Arial" w:cs="Arial"/>
          <w:sz w:val="24"/>
          <w:lang w:val="en-US"/>
        </w:rPr>
        <w:t xml:space="preserve"> monthly alpha</w:t>
      </w:r>
      <w:r w:rsidR="00055420">
        <w:rPr>
          <w:rFonts w:ascii="Arial" w:hAnsi="Arial" w:cs="Arial"/>
          <w:sz w:val="24"/>
          <w:lang w:val="en-US"/>
        </w:rPr>
        <w:t>s</w:t>
      </w:r>
      <w:r w:rsidR="006C66F4">
        <w:rPr>
          <w:rFonts w:ascii="Arial" w:hAnsi="Arial" w:cs="Arial"/>
          <w:sz w:val="24"/>
          <w:lang w:val="en-US"/>
        </w:rPr>
        <w:t xml:space="preserve"> </w:t>
      </w:r>
      <w:r w:rsidR="004A3458">
        <w:rPr>
          <w:rFonts w:ascii="Arial" w:hAnsi="Arial" w:cs="Arial"/>
          <w:sz w:val="24"/>
          <w:lang w:val="en-US"/>
        </w:rPr>
        <w:t>over all</w:t>
      </w:r>
      <w:r w:rsidR="006C66F4">
        <w:rPr>
          <w:rFonts w:ascii="Arial" w:hAnsi="Arial" w:cs="Arial"/>
          <w:sz w:val="24"/>
          <w:lang w:val="en-US"/>
        </w:rPr>
        <w:t xml:space="preserve"> funds in </w:t>
      </w:r>
      <w:r w:rsidR="00055420">
        <w:rPr>
          <w:rFonts w:ascii="Arial" w:hAnsi="Arial" w:cs="Arial"/>
          <w:sz w:val="24"/>
          <w:lang w:val="en-US"/>
        </w:rPr>
        <w:t>the respective region</w:t>
      </w:r>
      <w:r w:rsidR="006C66F4">
        <w:rPr>
          <w:rFonts w:ascii="Arial" w:hAnsi="Arial" w:cs="Arial"/>
          <w:sz w:val="24"/>
          <w:lang w:val="en-US"/>
        </w:rPr>
        <w:t xml:space="preserve">. </w:t>
      </w:r>
      <w:r w:rsidR="006C66F4">
        <w:rPr>
          <w:rFonts w:ascii="Arial" w:hAnsi="Arial" w:cs="Arial"/>
          <w:sz w:val="24"/>
          <w:lang w:val="en-US"/>
        </w:rPr>
        <w:lastRenderedPageBreak/>
        <w:t xml:space="preserve">For </w:t>
      </w:r>
      <w:r w:rsidR="00581C5C">
        <w:rPr>
          <w:rFonts w:ascii="Arial" w:hAnsi="Arial" w:cs="Arial"/>
          <w:sz w:val="24"/>
          <w:lang w:val="en-US"/>
        </w:rPr>
        <w:t>most</w:t>
      </w:r>
      <w:r w:rsidR="006C66F4">
        <w:rPr>
          <w:rFonts w:ascii="Arial" w:hAnsi="Arial" w:cs="Arial"/>
          <w:sz w:val="24"/>
          <w:lang w:val="en-US"/>
        </w:rPr>
        <w:t xml:space="preserve"> regions, alphas are very heterogenous depending of the benchmark used and the factor model used. We discuss these differences for each </w:t>
      </w:r>
      <w:r w:rsidR="00581C5C">
        <w:rPr>
          <w:rFonts w:ascii="Arial" w:hAnsi="Arial" w:cs="Arial"/>
          <w:sz w:val="24"/>
          <w:lang w:val="en-US"/>
        </w:rPr>
        <w:t>region but</w:t>
      </w:r>
      <w:r w:rsidR="006C66F4">
        <w:rPr>
          <w:rFonts w:ascii="Arial" w:hAnsi="Arial" w:cs="Arial"/>
          <w:sz w:val="24"/>
          <w:lang w:val="en-US"/>
        </w:rPr>
        <w:t xml:space="preserve"> go in</w:t>
      </w:r>
      <w:r w:rsidR="00055420">
        <w:rPr>
          <w:rFonts w:ascii="Arial" w:hAnsi="Arial" w:cs="Arial"/>
          <w:sz w:val="24"/>
          <w:lang w:val="en-US"/>
        </w:rPr>
        <w:t xml:space="preserve">to </w:t>
      </w:r>
      <w:r w:rsidR="006C66F4">
        <w:rPr>
          <w:rFonts w:ascii="Arial" w:hAnsi="Arial" w:cs="Arial"/>
          <w:sz w:val="24"/>
          <w:lang w:val="en-US"/>
        </w:rPr>
        <w:t xml:space="preserve">more detail for the region China.  </w:t>
      </w:r>
    </w:p>
    <w:p w14:paraId="70C512D2" w14:textId="77777777" w:rsidR="00473BD4" w:rsidRDefault="00473BD4" w:rsidP="00F372FA">
      <w:pPr>
        <w:spacing w:line="360" w:lineRule="auto"/>
        <w:rPr>
          <w:rFonts w:ascii="Arial" w:hAnsi="Arial" w:cs="Arial"/>
          <w:sz w:val="24"/>
          <w:lang w:val="en-US"/>
        </w:rPr>
      </w:pPr>
      <w:r>
        <w:rPr>
          <w:rFonts w:ascii="Arial" w:hAnsi="Arial" w:cs="Arial"/>
          <w:sz w:val="24"/>
          <w:lang w:val="en-US"/>
        </w:rPr>
        <w:t>In</w:t>
      </w:r>
      <w:r w:rsidR="006C66F4">
        <w:rPr>
          <w:rFonts w:ascii="Arial" w:hAnsi="Arial" w:cs="Arial"/>
          <w:sz w:val="24"/>
          <w:lang w:val="en-US"/>
        </w:rPr>
        <w:t xml:space="preserve"> contrast to other regions, Chinese funds outperform every benchmark in every factor setting.</w:t>
      </w:r>
      <w:r>
        <w:rPr>
          <w:rFonts w:ascii="Arial" w:hAnsi="Arial" w:cs="Arial"/>
          <w:sz w:val="24"/>
          <w:lang w:val="en-US"/>
        </w:rPr>
        <w:t xml:space="preserve"> Also, the funds achieve higher average alphas against the CSI300 than against the MSCI China.</w:t>
      </w:r>
      <w:r w:rsidR="006C66F4">
        <w:rPr>
          <w:rFonts w:ascii="Arial" w:hAnsi="Arial" w:cs="Arial"/>
          <w:sz w:val="24"/>
          <w:lang w:val="en-US"/>
        </w:rPr>
        <w:t xml:space="preserve"> We examine where this outperformance is coming from and take both stock characteristics and fund characteristics into consideration. To do this, we extract the fund specific alphas that arose from the four-factor model regression against the CSI300</w:t>
      </w:r>
      <w:r>
        <w:rPr>
          <w:rFonts w:ascii="Arial" w:hAnsi="Arial" w:cs="Arial"/>
          <w:sz w:val="24"/>
          <w:lang w:val="en-US"/>
        </w:rPr>
        <w:t xml:space="preserve"> over the last three years</w:t>
      </w:r>
      <w:r w:rsidR="006C66F4">
        <w:rPr>
          <w:rFonts w:ascii="Arial" w:hAnsi="Arial" w:cs="Arial"/>
          <w:sz w:val="24"/>
          <w:lang w:val="en-US"/>
        </w:rPr>
        <w:t xml:space="preserve">. </w:t>
      </w:r>
    </w:p>
    <w:p w14:paraId="53700513" w14:textId="77777777" w:rsidR="006C66F4" w:rsidRDefault="006C66F4" w:rsidP="00F372FA">
      <w:pPr>
        <w:spacing w:line="360" w:lineRule="auto"/>
        <w:rPr>
          <w:rFonts w:ascii="Arial" w:hAnsi="Arial" w:cs="Arial"/>
          <w:sz w:val="24"/>
          <w:lang w:val="en-US"/>
        </w:rPr>
      </w:pPr>
      <w:r>
        <w:rPr>
          <w:rFonts w:ascii="Arial" w:hAnsi="Arial" w:cs="Arial"/>
          <w:sz w:val="24"/>
          <w:lang w:val="en-US"/>
        </w:rPr>
        <w:t xml:space="preserve">For the fund characteristics, we </w:t>
      </w:r>
      <w:r w:rsidR="00473BD4">
        <w:rPr>
          <w:rFonts w:ascii="Arial" w:hAnsi="Arial" w:cs="Arial"/>
          <w:sz w:val="24"/>
          <w:lang w:val="en-US"/>
        </w:rPr>
        <w:t>regress these alphas against fund size, their latest expense ratio and the funds age. Also, we split the funds into deciles and calculate the average fund size, expense ratio and age for each decile. Both the regression results and the decile averages indicate that bigger, younger and less expensive funds outperform the CSI300 by a higher margin than their peers.</w:t>
      </w:r>
    </w:p>
    <w:p w14:paraId="5815BC00" w14:textId="2E500D09" w:rsidR="006C66F4" w:rsidRDefault="00473BD4" w:rsidP="00F372FA">
      <w:pPr>
        <w:spacing w:line="360" w:lineRule="auto"/>
        <w:rPr>
          <w:rFonts w:ascii="Arial" w:hAnsi="Arial" w:cs="Arial"/>
          <w:sz w:val="24"/>
          <w:lang w:val="en-US"/>
        </w:rPr>
      </w:pPr>
      <w:r w:rsidRPr="00473BD4">
        <w:rPr>
          <w:rFonts w:ascii="Arial" w:hAnsi="Arial" w:cs="Arial"/>
          <w:sz w:val="24"/>
          <w:lang w:val="en-US"/>
        </w:rPr>
        <w:t xml:space="preserve">For the equity characteristics we download the holding data </w:t>
      </w:r>
      <w:r>
        <w:rPr>
          <w:rFonts w:ascii="Arial" w:hAnsi="Arial" w:cs="Arial"/>
          <w:sz w:val="24"/>
          <w:lang w:val="en-US"/>
        </w:rPr>
        <w:t>of</w:t>
      </w:r>
      <w:r w:rsidRPr="00473BD4">
        <w:rPr>
          <w:rFonts w:ascii="Arial" w:hAnsi="Arial" w:cs="Arial"/>
          <w:sz w:val="24"/>
          <w:lang w:val="en-US"/>
        </w:rPr>
        <w:t xml:space="preserve"> 13 funds from Thomson Reuters</w:t>
      </w:r>
      <w:r>
        <w:rPr>
          <w:rFonts w:ascii="Arial" w:hAnsi="Arial" w:cs="Arial"/>
          <w:sz w:val="24"/>
          <w:lang w:val="en-US"/>
        </w:rPr>
        <w:t xml:space="preserve"> over the last 12 quarters</w:t>
      </w:r>
      <w:r w:rsidRPr="00473BD4">
        <w:rPr>
          <w:rFonts w:ascii="Arial" w:hAnsi="Arial" w:cs="Arial"/>
          <w:sz w:val="24"/>
          <w:lang w:val="en-US"/>
        </w:rPr>
        <w:t xml:space="preserve">, which were represented in either top or low </w:t>
      </w:r>
      <w:r>
        <w:rPr>
          <w:rFonts w:ascii="Arial" w:hAnsi="Arial" w:cs="Arial"/>
          <w:sz w:val="24"/>
          <w:lang w:val="en-US"/>
        </w:rPr>
        <w:t xml:space="preserve">alpha </w:t>
      </w:r>
      <w:r w:rsidRPr="00473BD4">
        <w:rPr>
          <w:rFonts w:ascii="Arial" w:hAnsi="Arial" w:cs="Arial"/>
          <w:sz w:val="24"/>
          <w:lang w:val="en-US"/>
        </w:rPr>
        <w:t>decile.</w:t>
      </w:r>
      <w:r w:rsidR="006C66F4">
        <w:rPr>
          <w:rFonts w:ascii="Arial" w:hAnsi="Arial" w:cs="Arial"/>
          <w:sz w:val="24"/>
          <w:lang w:val="en-US"/>
        </w:rPr>
        <w:t xml:space="preserve"> </w:t>
      </w:r>
      <w:r w:rsidR="00CF161B">
        <w:rPr>
          <w:rFonts w:ascii="Arial" w:hAnsi="Arial" w:cs="Arial"/>
          <w:sz w:val="24"/>
          <w:lang w:val="en-US"/>
        </w:rPr>
        <w:t>Using the weights of the fund holdings, we calculate the average</w:t>
      </w:r>
      <w:r>
        <w:rPr>
          <w:rFonts w:ascii="Arial" w:hAnsi="Arial" w:cs="Arial"/>
          <w:sz w:val="24"/>
          <w:lang w:val="en-US"/>
        </w:rPr>
        <w:t xml:space="preserve"> institutional ownership</w:t>
      </w:r>
      <w:r w:rsidR="00CF161B">
        <w:rPr>
          <w:rFonts w:ascii="Arial" w:hAnsi="Arial" w:cs="Arial"/>
          <w:sz w:val="24"/>
          <w:lang w:val="en-US"/>
        </w:rPr>
        <w:t xml:space="preserve"> of the stocks held</w:t>
      </w:r>
      <w:r>
        <w:rPr>
          <w:rFonts w:ascii="Arial" w:hAnsi="Arial" w:cs="Arial"/>
          <w:sz w:val="24"/>
          <w:lang w:val="en-US"/>
        </w:rPr>
        <w:t xml:space="preserve">, the </w:t>
      </w:r>
      <w:r w:rsidR="00CF161B">
        <w:rPr>
          <w:rFonts w:ascii="Arial" w:hAnsi="Arial" w:cs="Arial"/>
          <w:sz w:val="24"/>
          <w:lang w:val="en-US"/>
        </w:rPr>
        <w:t>average number of</w:t>
      </w:r>
      <w:r>
        <w:rPr>
          <w:rFonts w:ascii="Arial" w:hAnsi="Arial" w:cs="Arial"/>
          <w:sz w:val="24"/>
          <w:lang w:val="en-US"/>
        </w:rPr>
        <w:t xml:space="preserve"> stock analysts recommending </w:t>
      </w:r>
      <w:r w:rsidR="00CF161B">
        <w:rPr>
          <w:rFonts w:ascii="Arial" w:hAnsi="Arial" w:cs="Arial"/>
          <w:sz w:val="24"/>
          <w:lang w:val="en-US"/>
        </w:rPr>
        <w:t>the stocks held</w:t>
      </w:r>
      <w:r>
        <w:rPr>
          <w:rFonts w:ascii="Arial" w:hAnsi="Arial" w:cs="Arial"/>
          <w:sz w:val="24"/>
          <w:lang w:val="en-US"/>
        </w:rPr>
        <w:t xml:space="preserve"> and </w:t>
      </w:r>
      <w:r w:rsidR="00CF161B">
        <w:rPr>
          <w:rFonts w:ascii="Arial" w:hAnsi="Arial" w:cs="Arial"/>
          <w:sz w:val="24"/>
          <w:lang w:val="en-US"/>
        </w:rPr>
        <w:t>average holdings in state-owned enterprises</w:t>
      </w:r>
      <w:r>
        <w:rPr>
          <w:rFonts w:ascii="Arial" w:hAnsi="Arial" w:cs="Arial"/>
          <w:sz w:val="24"/>
          <w:lang w:val="en-US"/>
        </w:rPr>
        <w:t>. Overall, we find that the top performing funds hold less state</w:t>
      </w:r>
      <w:r w:rsidR="00CF161B">
        <w:rPr>
          <w:rFonts w:ascii="Arial" w:hAnsi="Arial" w:cs="Arial"/>
          <w:sz w:val="24"/>
          <w:lang w:val="en-US"/>
        </w:rPr>
        <w:t>-</w:t>
      </w:r>
      <w:r>
        <w:rPr>
          <w:rFonts w:ascii="Arial" w:hAnsi="Arial" w:cs="Arial"/>
          <w:sz w:val="24"/>
          <w:lang w:val="en-US"/>
        </w:rPr>
        <w:t xml:space="preserve">owned </w:t>
      </w:r>
      <w:r w:rsidR="00CF161B">
        <w:rPr>
          <w:rFonts w:ascii="Arial" w:hAnsi="Arial" w:cs="Arial"/>
          <w:sz w:val="24"/>
          <w:lang w:val="en-US"/>
        </w:rPr>
        <w:t>enterprises</w:t>
      </w:r>
      <w:r>
        <w:rPr>
          <w:rFonts w:ascii="Arial" w:hAnsi="Arial" w:cs="Arial"/>
          <w:sz w:val="24"/>
          <w:lang w:val="en-US"/>
        </w:rPr>
        <w:t xml:space="preserve"> and stocks with higher institutional ownership. We repeat this procedure for the two benchmarks MSCI China and the CSI 300. The higher outperformance of the funds against the CSI 300 compared to the MSCI China can partly be explained by a lower percentage of state-owned constituents in the MCSI China compared to the CSI 300. </w:t>
      </w:r>
    </w:p>
    <w:p w14:paraId="54DA37E5" w14:textId="457D92A1" w:rsidR="007B71E2" w:rsidRDefault="00473BD4" w:rsidP="00F372FA">
      <w:pPr>
        <w:spacing w:line="360" w:lineRule="auto"/>
        <w:rPr>
          <w:rFonts w:ascii="Arial" w:hAnsi="Arial" w:cs="Arial"/>
          <w:sz w:val="24"/>
          <w:lang w:val="en-US"/>
        </w:rPr>
      </w:pPr>
      <w:r>
        <w:rPr>
          <w:rFonts w:ascii="Arial" w:hAnsi="Arial" w:cs="Arial"/>
          <w:sz w:val="24"/>
          <w:lang w:val="en-US"/>
        </w:rPr>
        <w:t>The rest of this seminar paper is structured as follows. In chapter two, we present literature which introduced the performance measures used in our study and publication</w:t>
      </w:r>
      <w:r w:rsidR="00C102E9">
        <w:rPr>
          <w:rFonts w:ascii="Arial" w:hAnsi="Arial" w:cs="Arial"/>
          <w:sz w:val="24"/>
          <w:lang w:val="en-US"/>
        </w:rPr>
        <w:t>s</w:t>
      </w:r>
      <w:r>
        <w:rPr>
          <w:rFonts w:ascii="Arial" w:hAnsi="Arial" w:cs="Arial"/>
          <w:sz w:val="24"/>
          <w:lang w:val="en-US"/>
        </w:rPr>
        <w:t xml:space="preserve"> </w:t>
      </w:r>
      <w:r w:rsidRPr="00473BD4">
        <w:rPr>
          <w:rFonts w:ascii="Arial" w:hAnsi="Arial" w:cs="Arial"/>
          <w:sz w:val="24"/>
          <w:lang w:val="en-US"/>
        </w:rPr>
        <w:t xml:space="preserve">that deal with topics </w:t>
      </w:r>
      <w:r w:rsidR="00CF161B">
        <w:rPr>
          <w:rFonts w:ascii="Arial" w:hAnsi="Arial" w:cs="Arial"/>
          <w:sz w:val="24"/>
          <w:lang w:val="en-US"/>
        </w:rPr>
        <w:t>like</w:t>
      </w:r>
      <w:r w:rsidR="001C31E5">
        <w:rPr>
          <w:rFonts w:ascii="Arial" w:hAnsi="Arial" w:cs="Arial"/>
          <w:sz w:val="24"/>
          <w:lang w:val="en-US"/>
        </w:rPr>
        <w:t xml:space="preserve"> </w:t>
      </w:r>
      <w:r w:rsidR="00CF161B">
        <w:rPr>
          <w:rFonts w:ascii="Arial" w:hAnsi="Arial" w:cs="Arial"/>
          <w:sz w:val="24"/>
          <w:lang w:val="en-US"/>
        </w:rPr>
        <w:t>ours</w:t>
      </w:r>
      <w:r>
        <w:rPr>
          <w:rFonts w:ascii="Arial" w:hAnsi="Arial" w:cs="Arial"/>
          <w:sz w:val="24"/>
          <w:lang w:val="en-US"/>
        </w:rPr>
        <w:t xml:space="preserve">. The third chapter sheds light on the fund sample selection and on the benchmarks used in our study. </w:t>
      </w:r>
      <w:r w:rsidRPr="00473BD4">
        <w:rPr>
          <w:rFonts w:ascii="Arial" w:hAnsi="Arial" w:cs="Arial"/>
          <w:sz w:val="24"/>
          <w:lang w:val="en-US"/>
        </w:rPr>
        <w:t>After a short introduction to our methodology, we present the main findings of this work</w:t>
      </w:r>
      <w:r>
        <w:rPr>
          <w:rFonts w:ascii="Arial" w:hAnsi="Arial" w:cs="Arial"/>
          <w:sz w:val="24"/>
          <w:lang w:val="en-US"/>
        </w:rPr>
        <w:t>. Finally, we conclude this work by summarizing and by pointing out implications for investors and for future academic work.</w:t>
      </w:r>
    </w:p>
    <w:p w14:paraId="529F3B9C" w14:textId="77777777" w:rsidR="007B71E2" w:rsidRPr="00B5335A" w:rsidRDefault="007B71E2" w:rsidP="00B5335A">
      <w:pPr>
        <w:spacing w:line="360" w:lineRule="auto"/>
        <w:outlineLvl w:val="0"/>
        <w:rPr>
          <w:rFonts w:ascii="Arial" w:hAnsi="Arial" w:cs="Arial"/>
          <w:sz w:val="24"/>
          <w:lang w:val="en-US"/>
        </w:rPr>
      </w:pPr>
    </w:p>
    <w:p w14:paraId="41BEAD55" w14:textId="2A4DC3DE" w:rsidR="00A779D7" w:rsidRDefault="00A779D7" w:rsidP="00A779D7">
      <w:pPr>
        <w:outlineLvl w:val="0"/>
        <w:rPr>
          <w:rFonts w:ascii="Arial" w:hAnsi="Arial" w:cs="Arial"/>
          <w:b/>
          <w:sz w:val="24"/>
          <w:lang w:val="en-US"/>
        </w:rPr>
      </w:pPr>
      <w:bookmarkStart w:id="1" w:name="_Toc31449601"/>
      <w:r w:rsidRPr="00A779D7">
        <w:rPr>
          <w:rFonts w:ascii="Arial" w:hAnsi="Arial" w:cs="Arial"/>
          <w:b/>
          <w:sz w:val="24"/>
          <w:lang w:val="en-US"/>
        </w:rPr>
        <w:lastRenderedPageBreak/>
        <w:t>2. Literature Overview</w:t>
      </w:r>
      <w:bookmarkEnd w:id="1"/>
    </w:p>
    <w:p w14:paraId="17B28EC4" w14:textId="2080EC7F" w:rsidR="004A76F9" w:rsidRPr="00A779D7" w:rsidRDefault="004A76F9" w:rsidP="004A76F9">
      <w:pPr>
        <w:rPr>
          <w:rFonts w:ascii="Arial" w:hAnsi="Arial" w:cs="Arial"/>
          <w:b/>
          <w:sz w:val="24"/>
          <w:lang w:val="en-US"/>
        </w:rPr>
      </w:pPr>
      <w:r>
        <w:rPr>
          <w:rFonts w:ascii="Arial" w:hAnsi="Arial" w:cs="Arial"/>
          <w:b/>
          <w:sz w:val="24"/>
          <w:lang w:val="en-US"/>
        </w:rPr>
        <w:br w:type="page"/>
      </w:r>
    </w:p>
    <w:p w14:paraId="4B0C71AA" w14:textId="1DC13069" w:rsidR="00A779D7" w:rsidRDefault="00A779D7" w:rsidP="00A779D7">
      <w:pPr>
        <w:outlineLvl w:val="0"/>
        <w:rPr>
          <w:rFonts w:ascii="Arial" w:hAnsi="Arial" w:cs="Arial"/>
          <w:b/>
          <w:sz w:val="24"/>
          <w:lang w:val="en-US"/>
        </w:rPr>
      </w:pPr>
      <w:bookmarkStart w:id="2" w:name="_Toc31449602"/>
      <w:r w:rsidRPr="00A779D7">
        <w:rPr>
          <w:rFonts w:ascii="Arial" w:hAnsi="Arial" w:cs="Arial"/>
          <w:b/>
          <w:sz w:val="24"/>
          <w:lang w:val="en-US"/>
        </w:rPr>
        <w:lastRenderedPageBreak/>
        <w:t>3. Data</w:t>
      </w:r>
      <w:bookmarkEnd w:id="2"/>
    </w:p>
    <w:p w14:paraId="33B04473" w14:textId="3CDD3861" w:rsidR="00BF1F47" w:rsidRDefault="00CF3654" w:rsidP="00CF3654">
      <w:pPr>
        <w:spacing w:line="360" w:lineRule="auto"/>
        <w:outlineLvl w:val="0"/>
        <w:rPr>
          <w:rFonts w:ascii="Arial" w:hAnsi="Arial" w:cs="Arial"/>
          <w:bCs/>
          <w:sz w:val="24"/>
          <w:lang w:val="en-US"/>
        </w:rPr>
      </w:pPr>
      <w:r w:rsidRPr="00CF3654">
        <w:rPr>
          <w:rFonts w:ascii="Arial" w:hAnsi="Arial" w:cs="Arial"/>
          <w:bCs/>
          <w:sz w:val="24"/>
          <w:lang w:val="en-US"/>
        </w:rPr>
        <w:t>For the empirical study, data on a wide range of</w:t>
      </w:r>
      <w:r w:rsidR="001C31E5">
        <w:rPr>
          <w:rFonts w:ascii="Arial" w:hAnsi="Arial" w:cs="Arial"/>
          <w:bCs/>
          <w:sz w:val="24"/>
          <w:lang w:val="en-US"/>
        </w:rPr>
        <w:t xml:space="preserve"> equity</w:t>
      </w:r>
      <w:r w:rsidRPr="00CF3654">
        <w:rPr>
          <w:rFonts w:ascii="Arial" w:hAnsi="Arial" w:cs="Arial"/>
          <w:bCs/>
          <w:sz w:val="24"/>
          <w:lang w:val="en-US"/>
        </w:rPr>
        <w:t xml:space="preserve"> funds was downloaded from Morningstar</w:t>
      </w:r>
      <w:r>
        <w:rPr>
          <w:rFonts w:ascii="Arial" w:hAnsi="Arial" w:cs="Arial"/>
          <w:bCs/>
          <w:sz w:val="24"/>
          <w:lang w:val="en-US"/>
        </w:rPr>
        <w:t xml:space="preserve"> Direct. </w:t>
      </w:r>
      <w:r w:rsidRPr="00CF3654">
        <w:rPr>
          <w:rFonts w:ascii="Arial" w:hAnsi="Arial" w:cs="Arial"/>
          <w:bCs/>
          <w:sz w:val="24"/>
          <w:lang w:val="en-US"/>
        </w:rPr>
        <w:t>The sample was filtered out by a small set of limitations in the search query</w:t>
      </w:r>
      <w:r>
        <w:rPr>
          <w:rFonts w:ascii="Arial" w:hAnsi="Arial" w:cs="Arial"/>
          <w:bCs/>
          <w:sz w:val="24"/>
          <w:lang w:val="en-US"/>
        </w:rPr>
        <w:t xml:space="preserve">. </w:t>
      </w:r>
      <w:r w:rsidR="001C31E5">
        <w:rPr>
          <w:rFonts w:ascii="Arial" w:hAnsi="Arial" w:cs="Arial"/>
          <w:bCs/>
          <w:sz w:val="24"/>
          <w:lang w:val="en-US"/>
        </w:rPr>
        <w:t>Because this paper examines</w:t>
      </w:r>
      <w:r w:rsidRPr="00CF3654">
        <w:rPr>
          <w:rFonts w:ascii="Arial" w:hAnsi="Arial" w:cs="Arial"/>
          <w:bCs/>
          <w:sz w:val="24"/>
          <w:lang w:val="en-US"/>
        </w:rPr>
        <w:t xml:space="preserve"> equity funds only, each fund in our dataset must be in the Morningstar</w:t>
      </w:r>
      <w:r>
        <w:rPr>
          <w:rFonts w:ascii="Arial" w:hAnsi="Arial" w:cs="Arial"/>
          <w:bCs/>
          <w:sz w:val="24"/>
          <w:lang w:val="en-US"/>
        </w:rPr>
        <w:t xml:space="preserve"> </w:t>
      </w:r>
      <w:r w:rsidRPr="00CF3654">
        <w:rPr>
          <w:rFonts w:ascii="Arial" w:hAnsi="Arial" w:cs="Arial"/>
          <w:bCs/>
          <w:sz w:val="24"/>
          <w:lang w:val="en-US"/>
        </w:rPr>
        <w:t>Global Broad Category "Equity</w:t>
      </w:r>
      <w:r>
        <w:rPr>
          <w:rFonts w:ascii="Arial" w:hAnsi="Arial" w:cs="Arial"/>
          <w:bCs/>
          <w:sz w:val="24"/>
          <w:lang w:val="en-US"/>
        </w:rPr>
        <w:t xml:space="preserve">”. </w:t>
      </w:r>
      <w:r w:rsidRPr="00CF3654">
        <w:rPr>
          <w:rFonts w:ascii="Arial" w:hAnsi="Arial" w:cs="Arial"/>
          <w:bCs/>
          <w:sz w:val="24"/>
          <w:lang w:val="en-US"/>
        </w:rPr>
        <w:t xml:space="preserve">To ensure a balanced range of different investment regions on the Asian continent, we select funds that are included in </w:t>
      </w:r>
      <w:r w:rsidR="001C31E5">
        <w:rPr>
          <w:rFonts w:ascii="Arial" w:hAnsi="Arial" w:cs="Arial"/>
          <w:bCs/>
          <w:sz w:val="24"/>
          <w:lang w:val="en-US"/>
        </w:rPr>
        <w:t xml:space="preserve">either of </w:t>
      </w:r>
      <w:r w:rsidRPr="00CF3654">
        <w:rPr>
          <w:rFonts w:ascii="Arial" w:hAnsi="Arial" w:cs="Arial"/>
          <w:bCs/>
          <w:sz w:val="24"/>
          <w:lang w:val="en-US"/>
        </w:rPr>
        <w:t xml:space="preserve">Morningstar's investment areas "Asia Pac ex Japan", "Asia Pac ex Japan ex Australia", "China", "India" and "Asia </w:t>
      </w:r>
      <w:r>
        <w:rPr>
          <w:rFonts w:ascii="Arial" w:hAnsi="Arial" w:cs="Arial"/>
          <w:bCs/>
          <w:sz w:val="24"/>
          <w:lang w:val="en-US"/>
        </w:rPr>
        <w:t>Emerging Mkts</w:t>
      </w:r>
      <w:r w:rsidRPr="00CF3654">
        <w:rPr>
          <w:rFonts w:ascii="Arial" w:hAnsi="Arial" w:cs="Arial"/>
          <w:bCs/>
          <w:sz w:val="24"/>
          <w:lang w:val="en-US"/>
        </w:rPr>
        <w:t>"</w:t>
      </w:r>
      <w:r w:rsidR="001C31E5">
        <w:rPr>
          <w:rFonts w:ascii="Arial" w:hAnsi="Arial" w:cs="Arial"/>
          <w:bCs/>
          <w:sz w:val="24"/>
          <w:lang w:val="en-US"/>
        </w:rPr>
        <w:t>.</w:t>
      </w:r>
      <w:r w:rsidR="0066748B">
        <w:rPr>
          <w:rFonts w:ascii="Arial" w:hAnsi="Arial" w:cs="Arial"/>
          <w:bCs/>
          <w:sz w:val="24"/>
          <w:lang w:val="en-US"/>
        </w:rPr>
        <w:t xml:space="preserve"> </w:t>
      </w:r>
      <w:r w:rsidR="001C31E5">
        <w:rPr>
          <w:rFonts w:ascii="Arial" w:hAnsi="Arial" w:cs="Arial"/>
          <w:bCs/>
          <w:sz w:val="24"/>
          <w:lang w:val="en-US"/>
        </w:rPr>
        <w:t>F</w:t>
      </w:r>
      <w:r w:rsidR="0066748B">
        <w:rPr>
          <w:rFonts w:ascii="Arial" w:hAnsi="Arial" w:cs="Arial"/>
          <w:bCs/>
          <w:sz w:val="24"/>
          <w:lang w:val="en-US"/>
        </w:rPr>
        <w:t xml:space="preserve">unds listed as </w:t>
      </w:r>
      <w:r w:rsidR="0066748B" w:rsidRPr="00CF3654">
        <w:rPr>
          <w:rFonts w:ascii="Arial" w:hAnsi="Arial" w:cs="Arial"/>
          <w:bCs/>
          <w:sz w:val="24"/>
          <w:lang w:val="en-US"/>
        </w:rPr>
        <w:t>"Asia Pac ex Japan ex Australia</w:t>
      </w:r>
      <w:r w:rsidR="001C31E5">
        <w:rPr>
          <w:rFonts w:ascii="Arial" w:hAnsi="Arial" w:cs="Arial"/>
          <w:bCs/>
          <w:sz w:val="24"/>
          <w:lang w:val="en-US"/>
        </w:rPr>
        <w:t>” or</w:t>
      </w:r>
      <w:r w:rsidR="0066748B">
        <w:rPr>
          <w:rFonts w:ascii="Arial" w:hAnsi="Arial" w:cs="Arial"/>
          <w:bCs/>
          <w:sz w:val="24"/>
          <w:lang w:val="en-US"/>
        </w:rPr>
        <w:t xml:space="preserve"> </w:t>
      </w:r>
      <w:r w:rsidR="0066748B" w:rsidRPr="00CF3654">
        <w:rPr>
          <w:rFonts w:ascii="Arial" w:hAnsi="Arial" w:cs="Arial"/>
          <w:bCs/>
          <w:sz w:val="24"/>
          <w:lang w:val="en-US"/>
        </w:rPr>
        <w:t>"Asia Pac ex Japan"</w:t>
      </w:r>
      <w:r w:rsidR="0066748B">
        <w:rPr>
          <w:rFonts w:ascii="Arial" w:hAnsi="Arial" w:cs="Arial"/>
          <w:bCs/>
          <w:sz w:val="24"/>
          <w:lang w:val="en-US"/>
        </w:rPr>
        <w:t xml:space="preserve"> </w:t>
      </w:r>
      <w:r w:rsidR="001C31E5">
        <w:rPr>
          <w:rFonts w:ascii="Arial" w:hAnsi="Arial" w:cs="Arial"/>
          <w:bCs/>
          <w:sz w:val="24"/>
          <w:lang w:val="en-US"/>
        </w:rPr>
        <w:t>are combined into one category for further analysis</w:t>
      </w:r>
      <w:r w:rsidRPr="00CF3654">
        <w:rPr>
          <w:rFonts w:ascii="Arial" w:hAnsi="Arial" w:cs="Arial"/>
          <w:bCs/>
          <w:sz w:val="24"/>
          <w:lang w:val="en-US"/>
        </w:rPr>
        <w:t>.</w:t>
      </w:r>
      <w:r>
        <w:rPr>
          <w:rFonts w:ascii="Arial" w:hAnsi="Arial" w:cs="Arial"/>
          <w:bCs/>
          <w:sz w:val="24"/>
          <w:lang w:val="en-US"/>
        </w:rPr>
        <w:t xml:space="preserve"> Further, because our study aims to answer the question whether active mutual fund managers can outperform their benchmarks, we exclude all the funds that are not actively manage</w:t>
      </w:r>
      <w:r w:rsidR="004A76F9">
        <w:rPr>
          <w:rFonts w:ascii="Arial" w:hAnsi="Arial" w:cs="Arial"/>
          <w:bCs/>
          <w:sz w:val="24"/>
          <w:lang w:val="en-US"/>
        </w:rPr>
        <w:t>d</w:t>
      </w:r>
      <w:r>
        <w:rPr>
          <w:rFonts w:ascii="Arial" w:hAnsi="Arial" w:cs="Arial"/>
          <w:bCs/>
          <w:sz w:val="24"/>
          <w:lang w:val="en-US"/>
        </w:rPr>
        <w:t xml:space="preserve">, </w:t>
      </w:r>
      <w:r w:rsidR="004A76F9">
        <w:rPr>
          <w:rFonts w:ascii="Arial" w:hAnsi="Arial" w:cs="Arial"/>
          <w:bCs/>
          <w:sz w:val="24"/>
          <w:lang w:val="en-US"/>
        </w:rPr>
        <w:t>namely all funds which are</w:t>
      </w:r>
      <w:r>
        <w:rPr>
          <w:rFonts w:ascii="Arial" w:hAnsi="Arial" w:cs="Arial"/>
          <w:bCs/>
          <w:sz w:val="24"/>
          <w:lang w:val="en-US"/>
        </w:rPr>
        <w:t xml:space="preserve"> listed as index funds in Morningstar. </w:t>
      </w:r>
      <w:r w:rsidR="004A76F9">
        <w:rPr>
          <w:rFonts w:ascii="Arial" w:hAnsi="Arial" w:cs="Arial"/>
          <w:bCs/>
          <w:sz w:val="24"/>
          <w:lang w:val="en-US"/>
        </w:rPr>
        <w:t xml:space="preserve">To avoid survivorship bias, we include non-surviving funds. </w:t>
      </w:r>
      <w:r w:rsidR="00BF1F47" w:rsidRPr="00BF1F47">
        <w:rPr>
          <w:rFonts w:ascii="Arial" w:hAnsi="Arial" w:cs="Arial"/>
          <w:bCs/>
          <w:sz w:val="24"/>
          <w:lang w:val="en-US"/>
        </w:rPr>
        <w:t xml:space="preserve">The raw Morningstar data set was then transformed into a long format so that each row is assigned a monthly observation of </w:t>
      </w:r>
      <w:r w:rsidR="00BD4E01">
        <w:rPr>
          <w:rFonts w:ascii="Arial" w:hAnsi="Arial" w:cs="Arial"/>
          <w:bCs/>
          <w:sz w:val="24"/>
          <w:lang w:val="en-US"/>
        </w:rPr>
        <w:t>one</w:t>
      </w:r>
      <w:r w:rsidR="00BF1F47" w:rsidRPr="00BF1F47">
        <w:rPr>
          <w:rFonts w:ascii="Arial" w:hAnsi="Arial" w:cs="Arial"/>
          <w:bCs/>
          <w:sz w:val="24"/>
          <w:lang w:val="en-US"/>
        </w:rPr>
        <w:t xml:space="preserve"> fund.</w:t>
      </w:r>
      <w:r w:rsidR="00BF1F47">
        <w:rPr>
          <w:rFonts w:ascii="Arial" w:hAnsi="Arial" w:cs="Arial"/>
          <w:bCs/>
          <w:sz w:val="24"/>
          <w:lang w:val="en-US"/>
        </w:rPr>
        <w:t xml:space="preserve"> In total, this dataset report</w:t>
      </w:r>
      <w:r w:rsidR="008C1CAB">
        <w:rPr>
          <w:rFonts w:ascii="Arial" w:hAnsi="Arial" w:cs="Arial"/>
          <w:bCs/>
          <w:sz w:val="24"/>
          <w:lang w:val="en-US"/>
        </w:rPr>
        <w:t>s returns, fund size and the Morningstar “equity style factor” of 2851 funds over 120 months. Because not every fund existed over the full period of ten years from 01.01.2019 – 31.12.2019 and</w:t>
      </w:r>
      <w:r w:rsidR="00BD4E01">
        <w:rPr>
          <w:rFonts w:ascii="Arial" w:hAnsi="Arial" w:cs="Arial"/>
          <w:bCs/>
          <w:sz w:val="24"/>
          <w:lang w:val="en-US"/>
        </w:rPr>
        <w:t>,</w:t>
      </w:r>
      <w:r w:rsidR="008C1CAB">
        <w:rPr>
          <w:rFonts w:ascii="Arial" w:hAnsi="Arial" w:cs="Arial"/>
          <w:bCs/>
          <w:sz w:val="24"/>
          <w:lang w:val="en-US"/>
        </w:rPr>
        <w:t xml:space="preserve"> because for some funds data was not available for all months, the finished dataset includes a total of 186</w:t>
      </w:r>
      <w:r w:rsidR="00400946">
        <w:rPr>
          <w:rFonts w:ascii="Arial" w:hAnsi="Arial" w:cs="Arial"/>
          <w:bCs/>
          <w:sz w:val="24"/>
          <w:lang w:val="en-US"/>
        </w:rPr>
        <w:t>,</w:t>
      </w:r>
      <w:r w:rsidR="008C1CAB">
        <w:rPr>
          <w:rFonts w:ascii="Arial" w:hAnsi="Arial" w:cs="Arial"/>
          <w:bCs/>
          <w:sz w:val="24"/>
          <w:lang w:val="en-US"/>
        </w:rPr>
        <w:t>42</w:t>
      </w:r>
      <w:r w:rsidR="00400946">
        <w:rPr>
          <w:rFonts w:ascii="Arial" w:hAnsi="Arial" w:cs="Arial"/>
          <w:bCs/>
          <w:sz w:val="24"/>
          <w:lang w:val="en-US"/>
        </w:rPr>
        <w:t xml:space="preserve">0 rows. </w:t>
      </w:r>
    </w:p>
    <w:p w14:paraId="1BA5B054" w14:textId="15EB79C2" w:rsidR="0066748B" w:rsidRPr="0066748B" w:rsidRDefault="0066748B" w:rsidP="0066748B">
      <w:pPr>
        <w:pStyle w:val="Caption"/>
        <w:keepNext/>
        <w:rPr>
          <w:rFonts w:asciiTheme="majorHAnsi" w:hAnsiTheme="majorHAnsi" w:cstheme="majorHAnsi"/>
          <w:color w:val="auto"/>
          <w:sz w:val="24"/>
          <w:szCs w:val="24"/>
          <w:lang w:val="en-US"/>
        </w:rPr>
      </w:pPr>
      <w:r w:rsidRPr="0066748B">
        <w:rPr>
          <w:rFonts w:asciiTheme="majorHAnsi" w:hAnsiTheme="majorHAnsi" w:cstheme="majorHAnsi"/>
          <w:color w:val="auto"/>
          <w:sz w:val="24"/>
          <w:szCs w:val="24"/>
          <w:lang w:val="en-US"/>
        </w:rPr>
        <w:t xml:space="preserve">Table </w:t>
      </w:r>
      <w:r w:rsidRPr="0066748B">
        <w:rPr>
          <w:rFonts w:asciiTheme="majorHAnsi" w:hAnsiTheme="majorHAnsi" w:cstheme="majorHAnsi"/>
          <w:color w:val="auto"/>
          <w:sz w:val="24"/>
          <w:szCs w:val="24"/>
        </w:rPr>
        <w:fldChar w:fldCharType="begin"/>
      </w:r>
      <w:r w:rsidRPr="0066748B">
        <w:rPr>
          <w:rFonts w:asciiTheme="majorHAnsi" w:hAnsiTheme="majorHAnsi" w:cstheme="majorHAnsi"/>
          <w:color w:val="auto"/>
          <w:sz w:val="24"/>
          <w:szCs w:val="24"/>
          <w:lang w:val="en-US"/>
        </w:rPr>
        <w:instrText xml:space="preserve"> SEQ Table \* ARABIC </w:instrText>
      </w:r>
      <w:r w:rsidRPr="0066748B">
        <w:rPr>
          <w:rFonts w:asciiTheme="majorHAnsi" w:hAnsiTheme="majorHAnsi" w:cstheme="majorHAnsi"/>
          <w:color w:val="auto"/>
          <w:sz w:val="24"/>
          <w:szCs w:val="24"/>
        </w:rPr>
        <w:fldChar w:fldCharType="separate"/>
      </w:r>
      <w:r w:rsidRPr="0066748B">
        <w:rPr>
          <w:rFonts w:asciiTheme="majorHAnsi" w:hAnsiTheme="majorHAnsi" w:cstheme="majorHAnsi"/>
          <w:noProof/>
          <w:color w:val="auto"/>
          <w:sz w:val="24"/>
          <w:szCs w:val="24"/>
          <w:lang w:val="en-US"/>
        </w:rPr>
        <w:t>1</w:t>
      </w:r>
      <w:r w:rsidRPr="0066748B">
        <w:rPr>
          <w:rFonts w:asciiTheme="majorHAnsi" w:hAnsiTheme="majorHAnsi" w:cstheme="majorHAnsi"/>
          <w:color w:val="auto"/>
          <w:sz w:val="24"/>
          <w:szCs w:val="24"/>
        </w:rPr>
        <w:fldChar w:fldCharType="end"/>
      </w:r>
      <w:r w:rsidRPr="0066748B">
        <w:rPr>
          <w:rFonts w:asciiTheme="majorHAnsi" w:hAnsiTheme="majorHAnsi" w:cstheme="majorHAnsi"/>
          <w:color w:val="auto"/>
          <w:sz w:val="24"/>
          <w:szCs w:val="24"/>
          <w:lang w:val="en-US"/>
        </w:rPr>
        <w:t>: Basic properties of the fund sample data</w:t>
      </w:r>
    </w:p>
    <w:p w14:paraId="70A7BA8F" w14:textId="0C0E5380" w:rsidR="00BE6AA6" w:rsidRDefault="0066748B" w:rsidP="00A779D7">
      <w:pPr>
        <w:outlineLvl w:val="0"/>
        <w:rPr>
          <w:rFonts w:ascii="Arial" w:hAnsi="Arial" w:cs="Arial"/>
          <w:b/>
          <w:sz w:val="24"/>
          <w:lang w:val="en-US"/>
        </w:rPr>
      </w:pPr>
      <w:r>
        <w:rPr>
          <w:noProof/>
        </w:rPr>
        <w:drawing>
          <wp:inline distT="0" distB="0" distL="0" distR="0" wp14:anchorId="1CA610EC" wp14:editId="1C5765EA">
            <wp:extent cx="5760720"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27960"/>
                    </a:xfrm>
                    <a:prstGeom prst="rect">
                      <a:avLst/>
                    </a:prstGeom>
                  </pic:spPr>
                </pic:pic>
              </a:graphicData>
            </a:graphic>
          </wp:inline>
        </w:drawing>
      </w:r>
    </w:p>
    <w:p w14:paraId="244E3B7D" w14:textId="77777777" w:rsidR="00CF161B" w:rsidRDefault="0066748B" w:rsidP="0066748B">
      <w:pPr>
        <w:spacing w:line="360" w:lineRule="auto"/>
        <w:outlineLvl w:val="0"/>
        <w:rPr>
          <w:rFonts w:ascii="Arial" w:hAnsi="Arial" w:cs="Arial"/>
          <w:sz w:val="24"/>
          <w:lang w:val="en-US"/>
        </w:rPr>
      </w:pPr>
      <w:r>
        <w:rPr>
          <w:rFonts w:ascii="Arial" w:hAnsi="Arial" w:cs="Arial"/>
          <w:bCs/>
          <w:sz w:val="24"/>
          <w:lang w:val="en-US"/>
        </w:rPr>
        <w:t xml:space="preserve">Table 1 illustrates the most important descriptive statistics in the panel set. All </w:t>
      </w:r>
      <w:r w:rsidR="00EA5F79">
        <w:rPr>
          <w:rFonts w:ascii="Arial" w:hAnsi="Arial" w:cs="Arial"/>
          <w:bCs/>
          <w:sz w:val="24"/>
          <w:lang w:val="en-US"/>
        </w:rPr>
        <w:t xml:space="preserve">columns </w:t>
      </w:r>
      <w:r>
        <w:rPr>
          <w:rFonts w:ascii="Arial" w:hAnsi="Arial" w:cs="Arial"/>
          <w:bCs/>
          <w:sz w:val="24"/>
          <w:lang w:val="en-US"/>
        </w:rPr>
        <w:t>w</w:t>
      </w:r>
      <w:r w:rsidR="00EA5F79">
        <w:rPr>
          <w:rFonts w:ascii="Arial" w:hAnsi="Arial" w:cs="Arial"/>
          <w:bCs/>
          <w:sz w:val="24"/>
          <w:lang w:val="en-US"/>
        </w:rPr>
        <w:t>ere</w:t>
      </w:r>
      <w:r>
        <w:rPr>
          <w:rFonts w:ascii="Arial" w:hAnsi="Arial" w:cs="Arial"/>
          <w:bCs/>
          <w:sz w:val="24"/>
          <w:lang w:val="en-US"/>
        </w:rPr>
        <w:t xml:space="preserve"> calculated using datapoints reported </w:t>
      </w:r>
      <w:r w:rsidR="00EA5F79">
        <w:rPr>
          <w:rFonts w:ascii="Arial" w:hAnsi="Arial" w:cs="Arial"/>
          <w:bCs/>
          <w:sz w:val="24"/>
          <w:lang w:val="en-US"/>
        </w:rPr>
        <w:t>at the end of</w:t>
      </w:r>
      <w:r>
        <w:rPr>
          <w:rFonts w:ascii="Arial" w:hAnsi="Arial" w:cs="Arial"/>
          <w:bCs/>
          <w:sz w:val="24"/>
          <w:lang w:val="en-US"/>
        </w:rPr>
        <w:t xml:space="preserve"> December</w:t>
      </w:r>
      <w:r w:rsidR="00EA5F79">
        <w:rPr>
          <w:rFonts w:ascii="Arial" w:hAnsi="Arial" w:cs="Arial"/>
          <w:bCs/>
          <w:sz w:val="24"/>
          <w:lang w:val="en-US"/>
        </w:rPr>
        <w:t xml:space="preserve"> each </w:t>
      </w:r>
      <w:r w:rsidR="00EA5F79">
        <w:rPr>
          <w:rFonts w:ascii="Arial" w:hAnsi="Arial" w:cs="Arial"/>
          <w:bCs/>
          <w:sz w:val="24"/>
          <w:lang w:val="en-US"/>
        </w:rPr>
        <w:lastRenderedPageBreak/>
        <w:t>year</w:t>
      </w:r>
      <w:r>
        <w:rPr>
          <w:rFonts w:ascii="Arial" w:hAnsi="Arial" w:cs="Arial"/>
          <w:bCs/>
          <w:sz w:val="24"/>
          <w:lang w:val="en-US"/>
        </w:rPr>
        <w:t xml:space="preserve">. Overall, one can see that both the number of funds and the overall money invested in our investment regions </w:t>
      </w:r>
      <w:r w:rsidR="00EA5F79">
        <w:rPr>
          <w:rFonts w:ascii="Arial" w:hAnsi="Arial" w:cs="Arial"/>
          <w:bCs/>
          <w:sz w:val="24"/>
          <w:lang w:val="en-US"/>
        </w:rPr>
        <w:t>increased substantially over the last decade, with one exception being the funds classified as Asia emerging markets funds, whose average size and total assets under management decreased.</w:t>
      </w:r>
      <w:r w:rsidR="00BD4E01">
        <w:rPr>
          <w:rFonts w:ascii="Arial" w:hAnsi="Arial" w:cs="Arial"/>
          <w:bCs/>
          <w:sz w:val="24"/>
          <w:lang w:val="en-US"/>
        </w:rPr>
        <w:t xml:space="preserve"> The Chinese investment area saw the biggest increase in the number of funds and total assets with +161% and +74% respectively. The</w:t>
      </w:r>
      <w:r w:rsidR="0028737E">
        <w:rPr>
          <w:rFonts w:ascii="Arial" w:hAnsi="Arial" w:cs="Arial"/>
          <w:bCs/>
          <w:sz w:val="24"/>
          <w:lang w:val="en-US"/>
        </w:rPr>
        <w:t xml:space="preserve"> monthly total</w:t>
      </w:r>
      <w:r w:rsidR="00BD4E01">
        <w:rPr>
          <w:rFonts w:ascii="Arial" w:hAnsi="Arial" w:cs="Arial"/>
          <w:bCs/>
          <w:sz w:val="24"/>
          <w:lang w:val="en-US"/>
        </w:rPr>
        <w:t xml:space="preserve"> returns provided by Morningstar </w:t>
      </w:r>
      <w:r w:rsidR="0028737E" w:rsidRPr="0028737E">
        <w:rPr>
          <w:rFonts w:asciiTheme="majorHAnsi" w:hAnsiTheme="majorHAnsi" w:cstheme="majorHAnsi"/>
          <w:sz w:val="24"/>
          <w:szCs w:val="24"/>
          <w:lang w:val="en-US" w:eastAsia="zh-CN"/>
        </w:rPr>
        <w:t xml:space="preserve">determined each month by </w:t>
      </w:r>
      <w:r w:rsidR="0028737E">
        <w:rPr>
          <w:rFonts w:asciiTheme="majorHAnsi" w:hAnsiTheme="majorHAnsi" w:cstheme="majorHAnsi"/>
          <w:sz w:val="24"/>
          <w:szCs w:val="24"/>
          <w:lang w:val="en-US" w:eastAsia="zh-CN"/>
        </w:rPr>
        <w:t xml:space="preserve">dividing the </w:t>
      </w:r>
      <w:r w:rsidR="0028737E" w:rsidRPr="0028737E">
        <w:rPr>
          <w:rFonts w:asciiTheme="majorHAnsi" w:hAnsiTheme="majorHAnsi" w:cstheme="majorHAnsi"/>
          <w:sz w:val="24"/>
          <w:szCs w:val="24"/>
          <w:lang w:val="en-US" w:eastAsia="zh-CN"/>
        </w:rPr>
        <w:t xml:space="preserve">change in net asset value, reinvesting all income and capital-gains distributions during </w:t>
      </w:r>
      <w:r w:rsidR="0028737E">
        <w:rPr>
          <w:rFonts w:asciiTheme="majorHAnsi" w:hAnsiTheme="majorHAnsi" w:cstheme="majorHAnsi"/>
          <w:sz w:val="24"/>
          <w:szCs w:val="24"/>
          <w:lang w:val="en-US" w:eastAsia="zh-CN"/>
        </w:rPr>
        <w:t>the month</w:t>
      </w:r>
      <w:r w:rsidR="0028737E" w:rsidRPr="0028737E">
        <w:rPr>
          <w:rFonts w:asciiTheme="majorHAnsi" w:hAnsiTheme="majorHAnsi" w:cstheme="majorHAnsi"/>
          <w:sz w:val="24"/>
          <w:szCs w:val="24"/>
          <w:lang w:val="en-US" w:eastAsia="zh-CN"/>
        </w:rPr>
        <w:t>, and dividing by the starting NAV</w:t>
      </w:r>
      <w:r w:rsidR="0028737E">
        <w:rPr>
          <w:rFonts w:asciiTheme="majorHAnsi" w:hAnsiTheme="majorHAnsi" w:cstheme="majorHAnsi"/>
          <w:sz w:val="24"/>
          <w:szCs w:val="24"/>
          <w:lang w:val="en-US" w:eastAsia="zh-CN"/>
        </w:rPr>
        <w:t xml:space="preserve"> (Morningstar 2018)</w:t>
      </w:r>
      <w:r w:rsidR="0028737E" w:rsidRPr="0028737E">
        <w:rPr>
          <w:rFonts w:asciiTheme="majorHAnsi" w:hAnsiTheme="majorHAnsi" w:cstheme="majorHAnsi"/>
          <w:sz w:val="24"/>
          <w:szCs w:val="24"/>
          <w:lang w:val="en-US" w:eastAsia="zh-CN"/>
        </w:rPr>
        <w:t>.</w:t>
      </w:r>
      <w:r w:rsidR="0028737E">
        <w:rPr>
          <w:rFonts w:asciiTheme="majorHAnsi" w:hAnsiTheme="majorHAnsi" w:cstheme="majorHAnsi"/>
          <w:sz w:val="24"/>
          <w:szCs w:val="24"/>
          <w:lang w:val="en-US" w:eastAsia="zh-CN"/>
        </w:rPr>
        <w:t xml:space="preserve"> Both the fund size, which includes the money invested across </w:t>
      </w:r>
      <w:r w:rsidR="00581C5C">
        <w:rPr>
          <w:rFonts w:asciiTheme="majorHAnsi" w:hAnsiTheme="majorHAnsi" w:cstheme="majorHAnsi"/>
          <w:sz w:val="24"/>
          <w:szCs w:val="24"/>
          <w:lang w:val="en-US" w:eastAsia="zh-CN"/>
        </w:rPr>
        <w:t>all</w:t>
      </w:r>
      <w:r w:rsidR="0028737E">
        <w:rPr>
          <w:rFonts w:asciiTheme="majorHAnsi" w:hAnsiTheme="majorHAnsi" w:cstheme="majorHAnsi"/>
          <w:sz w:val="24"/>
          <w:szCs w:val="24"/>
          <w:lang w:val="en-US" w:eastAsia="zh-CN"/>
        </w:rPr>
        <w:t xml:space="preserve"> the funds’ share classes</w:t>
      </w:r>
      <w:r w:rsidR="00581C5C">
        <w:rPr>
          <w:rFonts w:asciiTheme="majorHAnsi" w:hAnsiTheme="majorHAnsi" w:cstheme="majorHAnsi"/>
          <w:sz w:val="24"/>
          <w:szCs w:val="24"/>
          <w:lang w:val="en-US" w:eastAsia="zh-CN"/>
        </w:rPr>
        <w:t>, and the returns were downloaded in Euro. Monthly returns of the different benchmarks used in the factor models were also downloaded from Morningstar.</w:t>
      </w:r>
      <w:r w:rsidR="00581C5C" w:rsidRPr="00581C5C">
        <w:rPr>
          <w:rFonts w:ascii="Arial" w:hAnsi="Arial" w:cs="Arial"/>
          <w:sz w:val="24"/>
          <w:lang w:val="en-US"/>
        </w:rPr>
        <w:t xml:space="preserve"> </w:t>
      </w:r>
    </w:p>
    <w:p w14:paraId="014AF759" w14:textId="52D72408" w:rsidR="00581C5C" w:rsidRDefault="00581C5C" w:rsidP="0066748B">
      <w:pPr>
        <w:spacing w:line="360" w:lineRule="auto"/>
        <w:outlineLvl w:val="0"/>
        <w:rPr>
          <w:rFonts w:ascii="Arial" w:hAnsi="Arial" w:cs="Arial"/>
          <w:sz w:val="24"/>
          <w:lang w:val="en-US"/>
        </w:rPr>
      </w:pPr>
      <w:r>
        <w:rPr>
          <w:rFonts w:ascii="Arial" w:hAnsi="Arial" w:cs="Arial"/>
          <w:sz w:val="24"/>
          <w:lang w:val="en-US"/>
        </w:rPr>
        <w:t xml:space="preserve">For the factor returns we use the data provided by </w:t>
      </w:r>
      <w:proofErr w:type="spellStart"/>
      <w:r>
        <w:rPr>
          <w:rFonts w:ascii="Arial" w:hAnsi="Arial" w:cs="Arial"/>
          <w:sz w:val="24"/>
          <w:lang w:val="en-US"/>
        </w:rPr>
        <w:t>Fama</w:t>
      </w:r>
      <w:proofErr w:type="spellEnd"/>
      <w:r>
        <w:rPr>
          <w:rFonts w:ascii="Arial" w:hAnsi="Arial" w:cs="Arial"/>
          <w:sz w:val="24"/>
          <w:lang w:val="en-US"/>
        </w:rPr>
        <w:t xml:space="preserve"> and French which are calculated with stock returns from all public companies in countries defined as emerging markets. </w:t>
      </w:r>
      <w:r w:rsidRPr="006C66F4">
        <w:rPr>
          <w:rFonts w:ascii="Arial" w:hAnsi="Arial" w:cs="Arial"/>
          <w:sz w:val="24"/>
          <w:lang w:val="en-US"/>
        </w:rPr>
        <w:t>Although th</w:t>
      </w:r>
      <w:r>
        <w:rPr>
          <w:rFonts w:ascii="Arial" w:hAnsi="Arial" w:cs="Arial"/>
          <w:sz w:val="24"/>
          <w:lang w:val="en-US"/>
        </w:rPr>
        <w:t>is</w:t>
      </w:r>
      <w:r w:rsidRPr="006C66F4">
        <w:rPr>
          <w:rFonts w:ascii="Arial" w:hAnsi="Arial" w:cs="Arial"/>
          <w:sz w:val="24"/>
          <w:lang w:val="en-US"/>
        </w:rPr>
        <w:t xml:space="preserve"> universe also includes non-Asian </w:t>
      </w:r>
      <w:r>
        <w:rPr>
          <w:rFonts w:ascii="Arial" w:hAnsi="Arial" w:cs="Arial"/>
          <w:sz w:val="24"/>
          <w:lang w:val="en-US"/>
        </w:rPr>
        <w:t>emerging markets</w:t>
      </w:r>
      <w:r w:rsidRPr="006C66F4">
        <w:rPr>
          <w:rFonts w:ascii="Arial" w:hAnsi="Arial" w:cs="Arial"/>
          <w:sz w:val="24"/>
          <w:lang w:val="en-US"/>
        </w:rPr>
        <w:t>, we consider the</w:t>
      </w:r>
      <w:r>
        <w:rPr>
          <w:rFonts w:ascii="Arial" w:hAnsi="Arial" w:cs="Arial"/>
          <w:sz w:val="24"/>
          <w:lang w:val="en-US"/>
        </w:rPr>
        <w:t xml:space="preserve"> factor returns</w:t>
      </w:r>
      <w:r w:rsidRPr="006C66F4">
        <w:rPr>
          <w:rFonts w:ascii="Arial" w:hAnsi="Arial" w:cs="Arial"/>
          <w:sz w:val="24"/>
          <w:lang w:val="en-US"/>
        </w:rPr>
        <w:t xml:space="preserve"> appropriate for our study.</w:t>
      </w:r>
      <w:r>
        <w:rPr>
          <w:rFonts w:ascii="Arial" w:hAnsi="Arial" w:cs="Arial"/>
          <w:sz w:val="24"/>
          <w:lang w:val="en-US"/>
        </w:rPr>
        <w:t xml:space="preserve"> </w:t>
      </w:r>
      <w:r w:rsidRPr="006C66F4">
        <w:rPr>
          <w:rFonts w:ascii="Arial" w:hAnsi="Arial" w:cs="Arial"/>
          <w:sz w:val="24"/>
          <w:lang w:val="en-US"/>
        </w:rPr>
        <w:t xml:space="preserve">This is because the Asian </w:t>
      </w:r>
      <w:r>
        <w:rPr>
          <w:rFonts w:ascii="Arial" w:hAnsi="Arial" w:cs="Arial"/>
          <w:sz w:val="24"/>
          <w:lang w:val="en-US"/>
        </w:rPr>
        <w:t>emerging markets</w:t>
      </w:r>
      <w:r w:rsidRPr="006C66F4">
        <w:rPr>
          <w:rFonts w:ascii="Arial" w:hAnsi="Arial" w:cs="Arial"/>
          <w:sz w:val="24"/>
          <w:lang w:val="en-US"/>
        </w:rPr>
        <w:t xml:space="preserve"> and China </w:t>
      </w:r>
      <w:r>
        <w:rPr>
          <w:rFonts w:ascii="Arial" w:hAnsi="Arial" w:cs="Arial"/>
          <w:sz w:val="24"/>
          <w:lang w:val="en-US"/>
        </w:rPr>
        <w:t xml:space="preserve">specifically </w:t>
      </w:r>
      <w:r w:rsidRPr="006C66F4">
        <w:rPr>
          <w:rFonts w:ascii="Arial" w:hAnsi="Arial" w:cs="Arial"/>
          <w:sz w:val="24"/>
          <w:lang w:val="en-US"/>
        </w:rPr>
        <w:t>represent</w:t>
      </w:r>
      <w:r w:rsidRPr="006C66F4">
        <w:rPr>
          <w:rFonts w:ascii="Arial" w:hAnsi="Arial" w:cs="Arial"/>
          <w:sz w:val="24"/>
          <w:lang w:val="en-US"/>
        </w:rPr>
        <w:t xml:space="preserve"> a large weight in this universe.</w:t>
      </w:r>
      <w:r>
        <w:rPr>
          <w:rFonts w:ascii="Arial" w:hAnsi="Arial" w:cs="Arial"/>
          <w:sz w:val="24"/>
          <w:lang w:val="en-US"/>
        </w:rPr>
        <w:t xml:space="preserve"> </w:t>
      </w:r>
      <w:r w:rsidR="00CF161B">
        <w:rPr>
          <w:rFonts w:ascii="Arial" w:hAnsi="Arial" w:cs="Arial"/>
          <w:sz w:val="24"/>
          <w:lang w:val="en-US"/>
        </w:rPr>
        <w:t>All factor returns were currency-adjusted to Euro.</w:t>
      </w:r>
    </w:p>
    <w:p w14:paraId="410AEBD1" w14:textId="5668B5AF" w:rsidR="00581C5C" w:rsidRDefault="00CF161B" w:rsidP="0066748B">
      <w:pPr>
        <w:spacing w:line="360" w:lineRule="auto"/>
        <w:outlineLvl w:val="0"/>
        <w:rPr>
          <w:rFonts w:asciiTheme="majorHAnsi" w:hAnsiTheme="majorHAnsi" w:cstheme="majorHAnsi"/>
          <w:sz w:val="24"/>
          <w:szCs w:val="24"/>
          <w:lang w:val="en-US" w:eastAsia="zh-CN"/>
        </w:rPr>
      </w:pPr>
      <w:r>
        <w:rPr>
          <w:rFonts w:ascii="Arial" w:hAnsi="Arial" w:cs="Arial"/>
          <w:sz w:val="24"/>
          <w:lang w:val="en-US"/>
        </w:rPr>
        <w:t>Quarterly stock holdings data of</w:t>
      </w:r>
      <w:r w:rsidR="00607A2C">
        <w:rPr>
          <w:rFonts w:ascii="Arial" w:hAnsi="Arial" w:cs="Arial"/>
          <w:sz w:val="24"/>
          <w:lang w:val="en-US"/>
        </w:rPr>
        <w:t xml:space="preserve"> Chinese funds,</w:t>
      </w:r>
      <w:r>
        <w:rPr>
          <w:rFonts w:ascii="Arial" w:hAnsi="Arial" w:cs="Arial"/>
          <w:sz w:val="24"/>
          <w:lang w:val="en-US"/>
        </w:rPr>
        <w:t xml:space="preserve"> </w:t>
      </w:r>
      <w:r w:rsidR="00607A2C">
        <w:rPr>
          <w:rFonts w:ascii="Arial" w:hAnsi="Arial" w:cs="Arial"/>
          <w:sz w:val="24"/>
          <w:lang w:val="en-US"/>
        </w:rPr>
        <w:t xml:space="preserve">who achieved alphas either in the highest or lowest decile of </w:t>
      </w:r>
      <w:r w:rsidR="001C31E5">
        <w:rPr>
          <w:rFonts w:ascii="Arial" w:hAnsi="Arial" w:cs="Arial"/>
          <w:sz w:val="24"/>
          <w:lang w:val="en-US"/>
        </w:rPr>
        <w:t xml:space="preserve">Carhart </w:t>
      </w:r>
      <w:r w:rsidR="001C31E5">
        <w:rPr>
          <w:rFonts w:ascii="Arial" w:hAnsi="Arial" w:cs="Arial"/>
          <w:sz w:val="24"/>
          <w:lang w:val="en-US"/>
        </w:rPr>
        <w:t xml:space="preserve">4-factor </w:t>
      </w:r>
      <w:r w:rsidR="00607A2C">
        <w:rPr>
          <w:rFonts w:ascii="Arial" w:hAnsi="Arial" w:cs="Arial"/>
          <w:sz w:val="24"/>
          <w:lang w:val="en-US"/>
        </w:rPr>
        <w:t>alphas against the CSI300</w:t>
      </w:r>
      <w:r>
        <w:rPr>
          <w:rFonts w:ascii="Arial" w:hAnsi="Arial" w:cs="Arial"/>
          <w:sz w:val="24"/>
          <w:lang w:val="en-US"/>
        </w:rPr>
        <w:t xml:space="preserve"> over the last three years</w:t>
      </w:r>
      <w:r w:rsidR="00607A2C">
        <w:rPr>
          <w:rFonts w:ascii="Arial" w:hAnsi="Arial" w:cs="Arial"/>
          <w:sz w:val="24"/>
          <w:lang w:val="en-US"/>
        </w:rPr>
        <w:t>, was downloaded from the Thomson Reuter’s Eikon database</w:t>
      </w:r>
      <w:r>
        <w:rPr>
          <w:rFonts w:ascii="Arial" w:hAnsi="Arial" w:cs="Arial"/>
          <w:sz w:val="24"/>
          <w:lang w:val="en-US"/>
        </w:rPr>
        <w:t xml:space="preserve">. </w:t>
      </w:r>
      <w:r w:rsidR="00607A2C">
        <w:rPr>
          <w:rFonts w:ascii="Arial" w:hAnsi="Arial" w:cs="Arial"/>
          <w:sz w:val="24"/>
          <w:lang w:val="en-US"/>
        </w:rPr>
        <w:t>Funds for which not at least semi-annual holding data was available were excluded</w:t>
      </w:r>
      <w:r w:rsidR="001C31E5">
        <w:rPr>
          <w:rFonts w:ascii="Arial" w:hAnsi="Arial" w:cs="Arial"/>
          <w:sz w:val="24"/>
          <w:lang w:val="en-US"/>
        </w:rPr>
        <w:t>,</w:t>
      </w:r>
      <w:r w:rsidR="00607A2C">
        <w:rPr>
          <w:rFonts w:ascii="Arial" w:hAnsi="Arial" w:cs="Arial"/>
          <w:sz w:val="24"/>
          <w:lang w:val="en-US"/>
        </w:rPr>
        <w:t xml:space="preserve"> leaving </w:t>
      </w:r>
      <w:r>
        <w:rPr>
          <w:rFonts w:ascii="Arial" w:hAnsi="Arial" w:cs="Arial"/>
          <w:sz w:val="24"/>
          <w:lang w:val="en-US"/>
        </w:rPr>
        <w:t xml:space="preserve">only </w:t>
      </w:r>
      <w:r w:rsidR="00607A2C">
        <w:rPr>
          <w:rFonts w:ascii="Arial" w:hAnsi="Arial" w:cs="Arial"/>
          <w:sz w:val="24"/>
          <w:lang w:val="en-US"/>
        </w:rPr>
        <w:t>13 funds. Additionally, the quarterly constituent weights for the MSCI China and the CSI300 were obtained</w:t>
      </w:r>
      <w:r w:rsidR="001C31E5">
        <w:rPr>
          <w:rFonts w:ascii="Arial" w:hAnsi="Arial" w:cs="Arial"/>
          <w:sz w:val="24"/>
          <w:lang w:val="en-US"/>
        </w:rPr>
        <w:t xml:space="preserve"> in Eikon</w:t>
      </w:r>
      <w:r w:rsidR="00607A2C">
        <w:rPr>
          <w:rFonts w:ascii="Arial" w:hAnsi="Arial" w:cs="Arial"/>
          <w:sz w:val="24"/>
          <w:lang w:val="en-US"/>
        </w:rPr>
        <w:t>. For the 1251 stock</w:t>
      </w:r>
      <w:r>
        <w:rPr>
          <w:rFonts w:ascii="Arial" w:hAnsi="Arial" w:cs="Arial"/>
          <w:sz w:val="24"/>
          <w:lang w:val="en-US"/>
        </w:rPr>
        <w:t>s</w:t>
      </w:r>
      <w:r w:rsidR="00607A2C">
        <w:rPr>
          <w:rFonts w:ascii="Arial" w:hAnsi="Arial" w:cs="Arial"/>
          <w:sz w:val="24"/>
          <w:lang w:val="en-US"/>
        </w:rPr>
        <w:t xml:space="preserve"> that were held either by the funds or the benchmarks over the last three years, information was taken from Bloomberg on the number of analyst recommendations, the percentage of institutional ownership and whether the company is a state-owned enterprise.</w:t>
      </w:r>
    </w:p>
    <w:p w14:paraId="28A306D1" w14:textId="0A0ECFFF" w:rsidR="00CF161B" w:rsidRDefault="00CF161B">
      <w:pPr>
        <w:rPr>
          <w:rFonts w:asciiTheme="majorHAnsi" w:hAnsiTheme="majorHAnsi" w:cstheme="majorHAnsi"/>
          <w:sz w:val="24"/>
          <w:szCs w:val="24"/>
          <w:lang w:val="en-US" w:eastAsia="zh-CN"/>
        </w:rPr>
      </w:pPr>
      <w:r>
        <w:rPr>
          <w:rFonts w:asciiTheme="majorHAnsi" w:hAnsiTheme="majorHAnsi" w:cstheme="majorHAnsi"/>
          <w:sz w:val="24"/>
          <w:szCs w:val="24"/>
          <w:lang w:val="en-US" w:eastAsia="zh-CN"/>
        </w:rPr>
        <w:br w:type="page"/>
      </w:r>
    </w:p>
    <w:p w14:paraId="754E1FCF" w14:textId="77777777" w:rsidR="00581C5C" w:rsidRPr="00581C5C" w:rsidRDefault="00581C5C" w:rsidP="0066748B">
      <w:pPr>
        <w:spacing w:line="360" w:lineRule="auto"/>
        <w:outlineLvl w:val="0"/>
        <w:rPr>
          <w:rFonts w:asciiTheme="majorHAnsi" w:hAnsiTheme="majorHAnsi" w:cstheme="majorHAnsi"/>
          <w:sz w:val="24"/>
          <w:szCs w:val="24"/>
          <w:lang w:val="en-US" w:eastAsia="zh-CN"/>
        </w:rPr>
      </w:pPr>
    </w:p>
    <w:p w14:paraId="37717427" w14:textId="77777777" w:rsidR="00A779D7" w:rsidRPr="00A779D7" w:rsidRDefault="00A779D7" w:rsidP="00A779D7">
      <w:pPr>
        <w:outlineLvl w:val="0"/>
        <w:rPr>
          <w:rFonts w:ascii="Arial" w:hAnsi="Arial" w:cs="Arial"/>
          <w:b/>
          <w:sz w:val="24"/>
          <w:lang w:val="en-US"/>
        </w:rPr>
      </w:pPr>
      <w:bookmarkStart w:id="3" w:name="_Toc31449603"/>
      <w:r w:rsidRPr="00A779D7">
        <w:rPr>
          <w:rFonts w:ascii="Arial" w:hAnsi="Arial" w:cs="Arial"/>
          <w:b/>
          <w:sz w:val="24"/>
          <w:lang w:val="en-US"/>
        </w:rPr>
        <w:t>4. Methodology</w:t>
      </w:r>
      <w:bookmarkStart w:id="4" w:name="_GoBack"/>
      <w:bookmarkEnd w:id="3"/>
      <w:bookmarkEnd w:id="4"/>
    </w:p>
    <w:p w14:paraId="1681DD81" w14:textId="77777777" w:rsidR="00A779D7" w:rsidRPr="00A779D7" w:rsidRDefault="00A779D7" w:rsidP="00A779D7">
      <w:pPr>
        <w:outlineLvl w:val="0"/>
        <w:rPr>
          <w:rFonts w:ascii="Arial" w:hAnsi="Arial" w:cs="Arial"/>
          <w:b/>
          <w:sz w:val="24"/>
          <w:lang w:val="en-US"/>
        </w:rPr>
      </w:pPr>
      <w:bookmarkStart w:id="5" w:name="_Toc31449604"/>
      <w:r>
        <w:rPr>
          <w:rFonts w:ascii="Arial" w:hAnsi="Arial" w:cs="Arial"/>
          <w:b/>
          <w:sz w:val="24"/>
          <w:lang w:val="en-US"/>
        </w:rPr>
        <w:t xml:space="preserve">5. </w:t>
      </w:r>
      <w:r w:rsidRPr="00A779D7">
        <w:rPr>
          <w:rFonts w:ascii="Arial" w:hAnsi="Arial" w:cs="Arial"/>
          <w:b/>
          <w:sz w:val="24"/>
          <w:lang w:val="en-US"/>
        </w:rPr>
        <w:t>Results</w:t>
      </w:r>
      <w:bookmarkEnd w:id="5"/>
    </w:p>
    <w:p w14:paraId="0F1B4F78" w14:textId="77777777" w:rsidR="00A779D7" w:rsidRPr="00BE6AA6" w:rsidRDefault="00A779D7" w:rsidP="00A779D7">
      <w:pPr>
        <w:outlineLvl w:val="0"/>
        <w:rPr>
          <w:rFonts w:ascii="Arial" w:hAnsi="Arial" w:cs="Arial"/>
          <w:b/>
          <w:sz w:val="24"/>
          <w:lang w:val="en-US"/>
        </w:rPr>
      </w:pPr>
      <w:bookmarkStart w:id="6" w:name="_Toc31449605"/>
      <w:r w:rsidRPr="00BE6AA6">
        <w:rPr>
          <w:rFonts w:ascii="Arial" w:hAnsi="Arial" w:cs="Arial"/>
          <w:b/>
          <w:sz w:val="24"/>
          <w:lang w:val="en-US"/>
        </w:rPr>
        <w:t>6. Conclusion</w:t>
      </w:r>
      <w:bookmarkEnd w:id="6"/>
    </w:p>
    <w:p w14:paraId="25C46B83" w14:textId="77777777" w:rsidR="00A779D7" w:rsidRPr="00A779D7" w:rsidRDefault="00A779D7" w:rsidP="00A779D7">
      <w:pPr>
        <w:outlineLvl w:val="0"/>
        <w:rPr>
          <w:rFonts w:ascii="Arial" w:hAnsi="Arial" w:cs="Arial"/>
          <w:b/>
          <w:sz w:val="24"/>
        </w:rPr>
      </w:pPr>
      <w:bookmarkStart w:id="7" w:name="_Toc31449606"/>
      <w:r w:rsidRPr="00A779D7">
        <w:rPr>
          <w:rFonts w:ascii="Arial" w:hAnsi="Arial" w:cs="Arial"/>
          <w:b/>
          <w:sz w:val="24"/>
        </w:rPr>
        <w:t>Appendix</w:t>
      </w:r>
      <w:bookmarkEnd w:id="7"/>
    </w:p>
    <w:p w14:paraId="7B5D4DEA" w14:textId="77777777" w:rsidR="00A779D7" w:rsidRPr="00A779D7" w:rsidRDefault="00A779D7" w:rsidP="00A779D7">
      <w:pPr>
        <w:pStyle w:val="ListParagraph"/>
        <w:ind w:left="1080"/>
        <w:outlineLvl w:val="0"/>
        <w:rPr>
          <w:rFonts w:ascii="Arial" w:hAnsi="Arial" w:cs="Arial"/>
          <w:sz w:val="24"/>
        </w:rPr>
      </w:pPr>
    </w:p>
    <w:sectPr w:rsidR="00A779D7" w:rsidRPr="00A779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14A5"/>
    <w:multiLevelType w:val="hybridMultilevel"/>
    <w:tmpl w:val="AAB2E17E"/>
    <w:lvl w:ilvl="0" w:tplc="14C89B5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D011111"/>
    <w:multiLevelType w:val="hybridMultilevel"/>
    <w:tmpl w:val="DECA9984"/>
    <w:lvl w:ilvl="0" w:tplc="CF822E9E">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 w15:restartNumberingAfterBreak="0">
    <w:nsid w:val="75807063"/>
    <w:multiLevelType w:val="hybridMultilevel"/>
    <w:tmpl w:val="16B815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D7"/>
    <w:rsid w:val="00055420"/>
    <w:rsid w:val="00060409"/>
    <w:rsid w:val="001C31E5"/>
    <w:rsid w:val="0022486F"/>
    <w:rsid w:val="0028737E"/>
    <w:rsid w:val="003C7E37"/>
    <w:rsid w:val="003E7CBA"/>
    <w:rsid w:val="00400946"/>
    <w:rsid w:val="00473BD4"/>
    <w:rsid w:val="004A3458"/>
    <w:rsid w:val="004A6C14"/>
    <w:rsid w:val="004A76F9"/>
    <w:rsid w:val="00505C0D"/>
    <w:rsid w:val="005515A2"/>
    <w:rsid w:val="00581C5C"/>
    <w:rsid w:val="005B62C5"/>
    <w:rsid w:val="00607A2C"/>
    <w:rsid w:val="0066748B"/>
    <w:rsid w:val="006C66F4"/>
    <w:rsid w:val="007B71E2"/>
    <w:rsid w:val="008C1CAB"/>
    <w:rsid w:val="00A641BF"/>
    <w:rsid w:val="00A779D7"/>
    <w:rsid w:val="00B5335A"/>
    <w:rsid w:val="00BD4E01"/>
    <w:rsid w:val="00BE6AA6"/>
    <w:rsid w:val="00BF1F47"/>
    <w:rsid w:val="00C102E9"/>
    <w:rsid w:val="00C2112B"/>
    <w:rsid w:val="00CF161B"/>
    <w:rsid w:val="00CF3654"/>
    <w:rsid w:val="00E062EC"/>
    <w:rsid w:val="00EA5F79"/>
    <w:rsid w:val="00F372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AF93"/>
  <w15:chartTrackingRefBased/>
  <w15:docId w15:val="{F1FF4F89-DC97-4D0E-8027-705E3617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E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E37"/>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779D7"/>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A779D7"/>
    <w:pPr>
      <w:spacing w:before="240" w:after="0"/>
    </w:pPr>
    <w:rPr>
      <w:b/>
      <w:bCs/>
      <w:sz w:val="20"/>
      <w:szCs w:val="20"/>
    </w:rPr>
  </w:style>
  <w:style w:type="paragraph" w:styleId="TOC3">
    <w:name w:val="toc 3"/>
    <w:basedOn w:val="Normal"/>
    <w:next w:val="Normal"/>
    <w:autoRedefine/>
    <w:uiPriority w:val="39"/>
    <w:unhideWhenUsed/>
    <w:rsid w:val="00A779D7"/>
    <w:pPr>
      <w:spacing w:after="0"/>
      <w:ind w:left="220"/>
    </w:pPr>
    <w:rPr>
      <w:sz w:val="20"/>
      <w:szCs w:val="20"/>
    </w:rPr>
  </w:style>
  <w:style w:type="paragraph" w:styleId="TOC4">
    <w:name w:val="toc 4"/>
    <w:basedOn w:val="Normal"/>
    <w:next w:val="Normal"/>
    <w:autoRedefine/>
    <w:uiPriority w:val="39"/>
    <w:unhideWhenUsed/>
    <w:rsid w:val="00A779D7"/>
    <w:pPr>
      <w:spacing w:after="0"/>
      <w:ind w:left="440"/>
    </w:pPr>
    <w:rPr>
      <w:sz w:val="20"/>
      <w:szCs w:val="20"/>
    </w:rPr>
  </w:style>
  <w:style w:type="paragraph" w:styleId="TOC5">
    <w:name w:val="toc 5"/>
    <w:basedOn w:val="Normal"/>
    <w:next w:val="Normal"/>
    <w:autoRedefine/>
    <w:uiPriority w:val="39"/>
    <w:unhideWhenUsed/>
    <w:rsid w:val="00A779D7"/>
    <w:pPr>
      <w:spacing w:after="0"/>
      <w:ind w:left="660"/>
    </w:pPr>
    <w:rPr>
      <w:sz w:val="20"/>
      <w:szCs w:val="20"/>
    </w:rPr>
  </w:style>
  <w:style w:type="paragraph" w:styleId="TOC6">
    <w:name w:val="toc 6"/>
    <w:basedOn w:val="Normal"/>
    <w:next w:val="Normal"/>
    <w:autoRedefine/>
    <w:uiPriority w:val="39"/>
    <w:unhideWhenUsed/>
    <w:rsid w:val="00A779D7"/>
    <w:pPr>
      <w:spacing w:after="0"/>
      <w:ind w:left="880"/>
    </w:pPr>
    <w:rPr>
      <w:sz w:val="20"/>
      <w:szCs w:val="20"/>
    </w:rPr>
  </w:style>
  <w:style w:type="paragraph" w:styleId="TOC7">
    <w:name w:val="toc 7"/>
    <w:basedOn w:val="Normal"/>
    <w:next w:val="Normal"/>
    <w:autoRedefine/>
    <w:uiPriority w:val="39"/>
    <w:unhideWhenUsed/>
    <w:rsid w:val="00A779D7"/>
    <w:pPr>
      <w:spacing w:after="0"/>
      <w:ind w:left="1100"/>
    </w:pPr>
    <w:rPr>
      <w:sz w:val="20"/>
      <w:szCs w:val="20"/>
    </w:rPr>
  </w:style>
  <w:style w:type="paragraph" w:styleId="TOC8">
    <w:name w:val="toc 8"/>
    <w:basedOn w:val="Normal"/>
    <w:next w:val="Normal"/>
    <w:autoRedefine/>
    <w:uiPriority w:val="39"/>
    <w:unhideWhenUsed/>
    <w:rsid w:val="00A779D7"/>
    <w:pPr>
      <w:spacing w:after="0"/>
      <w:ind w:left="1320"/>
    </w:pPr>
    <w:rPr>
      <w:sz w:val="20"/>
      <w:szCs w:val="20"/>
    </w:rPr>
  </w:style>
  <w:style w:type="paragraph" w:styleId="TOC9">
    <w:name w:val="toc 9"/>
    <w:basedOn w:val="Normal"/>
    <w:next w:val="Normal"/>
    <w:autoRedefine/>
    <w:uiPriority w:val="39"/>
    <w:unhideWhenUsed/>
    <w:rsid w:val="00A779D7"/>
    <w:pPr>
      <w:spacing w:after="0"/>
      <w:ind w:left="1540"/>
    </w:pPr>
    <w:rPr>
      <w:sz w:val="20"/>
      <w:szCs w:val="20"/>
    </w:rPr>
  </w:style>
  <w:style w:type="paragraph" w:styleId="ListParagraph">
    <w:name w:val="List Paragraph"/>
    <w:basedOn w:val="Normal"/>
    <w:uiPriority w:val="34"/>
    <w:qFormat/>
    <w:rsid w:val="00A779D7"/>
    <w:pPr>
      <w:ind w:left="720"/>
      <w:contextualSpacing/>
    </w:pPr>
  </w:style>
  <w:style w:type="character" w:styleId="Hyperlink">
    <w:name w:val="Hyperlink"/>
    <w:basedOn w:val="DefaultParagraphFont"/>
    <w:uiPriority w:val="99"/>
    <w:unhideWhenUsed/>
    <w:rsid w:val="00A779D7"/>
    <w:rPr>
      <w:color w:val="0000FF" w:themeColor="hyperlink"/>
      <w:u w:val="single"/>
    </w:rPr>
  </w:style>
  <w:style w:type="paragraph" w:styleId="Caption">
    <w:name w:val="caption"/>
    <w:basedOn w:val="Normal"/>
    <w:next w:val="Normal"/>
    <w:uiPriority w:val="35"/>
    <w:semiHidden/>
    <w:unhideWhenUsed/>
    <w:qFormat/>
    <w:rsid w:val="0066748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4542">
      <w:bodyDiv w:val="1"/>
      <w:marLeft w:val="0"/>
      <w:marRight w:val="0"/>
      <w:marTop w:val="0"/>
      <w:marBottom w:val="0"/>
      <w:divBdr>
        <w:top w:val="none" w:sz="0" w:space="0" w:color="auto"/>
        <w:left w:val="none" w:sz="0" w:space="0" w:color="auto"/>
        <w:bottom w:val="none" w:sz="0" w:space="0" w:color="auto"/>
        <w:right w:val="none" w:sz="0" w:space="0" w:color="auto"/>
      </w:divBdr>
    </w:div>
    <w:div w:id="1582521910">
      <w:bodyDiv w:val="1"/>
      <w:marLeft w:val="0"/>
      <w:marRight w:val="0"/>
      <w:marTop w:val="0"/>
      <w:marBottom w:val="0"/>
      <w:divBdr>
        <w:top w:val="none" w:sz="0" w:space="0" w:color="auto"/>
        <w:left w:val="none" w:sz="0" w:space="0" w:color="auto"/>
        <w:bottom w:val="none" w:sz="0" w:space="0" w:color="auto"/>
        <w:right w:val="none" w:sz="0" w:space="0" w:color="auto"/>
      </w:divBdr>
    </w:div>
    <w:div w:id="1894654941">
      <w:bodyDiv w:val="1"/>
      <w:marLeft w:val="0"/>
      <w:marRight w:val="0"/>
      <w:marTop w:val="0"/>
      <w:marBottom w:val="0"/>
      <w:divBdr>
        <w:top w:val="none" w:sz="0" w:space="0" w:color="auto"/>
        <w:left w:val="none" w:sz="0" w:space="0" w:color="auto"/>
        <w:bottom w:val="none" w:sz="0" w:space="0" w:color="auto"/>
        <w:right w:val="none" w:sz="0" w:space="0" w:color="auto"/>
      </w:divBdr>
      <w:divsChild>
        <w:div w:id="154070661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NISG CD Arial-Palatino">
      <a:majorFont>
        <a:latin typeface="Arial"/>
        <a:ea typeface=""/>
        <a:cs typeface=""/>
      </a:majorFont>
      <a:minorFont>
        <a:latin typeface="Palatino Linotype"/>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EB362-99DB-4150-B469-9E35FD101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1492</Words>
  <Characters>8506</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Sankt Gallen</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Wiest, Tobias</dc:creator>
  <cp:keywords/>
  <dc:description/>
  <cp:lastModifiedBy>Tobias Wiest</cp:lastModifiedBy>
  <cp:revision>5</cp:revision>
  <dcterms:created xsi:type="dcterms:W3CDTF">2020-02-02T10:19:00Z</dcterms:created>
  <dcterms:modified xsi:type="dcterms:W3CDTF">2020-02-02T13:26:00Z</dcterms:modified>
</cp:coreProperties>
</file>