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spacing w:before="1200" w:after="0"/>
        <w:rPr/>
      </w:pPr>
      <w:r>
        <w:rPr/>
      </w:r>
    </w:p>
    <w:p>
      <w:pPr>
        <w:pStyle w:val="Normal"/>
        <w:spacing w:before="0" w:after="200"/>
        <w:jc w:val="center"/>
        <w:rPr/>
      </w:pPr>
      <w:r>
        <w:rPr>
          <w:rFonts w:eastAsia="Calibri" w:cs="Calibri"/>
          <w:b/>
          <w:bCs/>
          <w:color w:val="1F4E78"/>
          <w:sz w:val="36"/>
          <w:szCs w:val="36"/>
        </w:rPr>
        <w:t>A Generalized Heterogeneous Graph Neural Network Architecture for Multi-Domain Financial Fraud Detection</w:t>
      </w:r>
    </w:p>
    <w:p>
      <w:pPr>
        <w:pStyle w:val="Normal"/>
        <w:spacing w:before="0" w:after="800"/>
        <w:jc w:val="center"/>
        <w:rPr/>
      </w:pPr>
      <w:r>
        <w:rPr>
          <w:rFonts w:eastAsia="Calibri" w:cs="Calibri"/>
          <w:i/>
          <w:iCs/>
          <w:color w:val="2E75B6"/>
          <w:sz w:val="26"/>
          <w:szCs w:val="26"/>
        </w:rPr>
        <w:t>From Payment Fraud to Anti-Money-Laundering Monitoring</w:t>
      </w:r>
    </w:p>
    <w:p>
      <w:pPr>
        <w:pStyle w:val="Normal"/>
        <w:spacing w:before="0" w:after="100"/>
        <w:jc w:val="center"/>
        <w:rPr/>
      </w:pPr>
      <w:r>
        <w:rPr>
          <w:rFonts w:eastAsia="Calibri" w:cs="Calibri"/>
          <w:sz w:val="24"/>
          <w:szCs w:val="24"/>
        </w:rPr>
        <w:t>Oluwadamilare Tobiloba</w:t>
      </w:r>
      <w:r>
        <w:rPr>
          <w:rFonts w:eastAsia="Calibri" w:cs="Calibri"/>
          <w:sz w:val="24"/>
          <w:szCs w:val="24"/>
        </w:rPr>
        <w:t>¹</w:t>
      </w:r>
    </w:p>
    <w:p>
      <w:pPr>
        <w:pStyle w:val="Normal"/>
        <w:spacing w:before="0" w:after="100"/>
        <w:jc w:val="center"/>
        <w:rPr>
          <w:rFonts w:ascii="Calibri" w:hAnsi="Calibri" w:eastAsia="Calibri" w:cs="Calibri"/>
          <w:i/>
          <w:i/>
          <w:iCs/>
          <w:sz w:val="22"/>
          <w:szCs w:val="22"/>
        </w:rPr>
      </w:pPr>
      <w:r>
        <w:rPr/>
      </w:r>
    </w:p>
    <w:p>
      <w:pPr>
        <w:pStyle w:val="Normal"/>
        <w:spacing w:before="0" w:after="900"/>
        <w:jc w:val="center"/>
        <w:rPr/>
      </w:pPr>
      <w:r>
        <w:rPr>
          <w:rFonts w:eastAsia="Calibri" w:cs="Calibri"/>
          <w:i/>
          <w:iCs/>
          <w:sz w:val="22"/>
          <w:szCs w:val="22"/>
        </w:rPr>
        <w:t>Tbiggest4@gmail.com</w:t>
      </w:r>
    </w:p>
    <w:p>
      <w:pPr>
        <w:pStyle w:val="Normal"/>
        <w:jc w:val="center"/>
        <w:rPr/>
      </w:pPr>
      <w:r>
        <w:rPr>
          <w:rFonts w:eastAsia="Calibri" w:cs="Calibri"/>
          <w:sz w:val="22"/>
          <w:szCs w:val="22"/>
        </w:rPr>
        <w:t>July 2026</w:t>
      </w:r>
    </w:p>
    <w:p>
      <w:pPr>
        <w:pStyle w:val="Normal"/>
        <w:rPr/>
      </w:pPr>
      <w:r>
        <w:rPr/>
      </w:r>
      <w:r>
        <w:br w:type="page"/>
      </w:r>
    </w:p>
    <w:p>
      <w:pPr>
        <w:pStyle w:val="Heading1"/>
        <w:spacing w:before="360" w:after="180"/>
        <w:rPr/>
      </w:pPr>
      <w:r>
        <w:rPr/>
        <w:t>Abstract</w:t>
      </w:r>
    </w:p>
    <w:p>
      <w:pPr>
        <w:pStyle w:val="Normal"/>
        <w:spacing w:lineRule="exact" w:line="276" w:before="0" w:after="200"/>
        <w:jc w:val="both"/>
        <w:rPr/>
      </w:pPr>
      <w:r>
        <w:rPr>
          <w:rFonts w:eastAsia="Calibri" w:cs="Calibri"/>
          <w:b w:val="false"/>
          <w:bCs w:val="false"/>
          <w:i w:val="false"/>
          <w:iCs w:val="false"/>
          <w:sz w:val="22"/>
          <w:szCs w:val="22"/>
        </w:rPr>
        <w:t>Financial fraud increasingly manifests as coordinated, network-structured behavior — shared devices, IP addresses, and intermediary accounts — that per-transaction tabular models cannot see by construction, since each row is scored independently of every other. This paper presents a graph-native fraud detection architecture that models transactions, accounts, devices, and IP addresses as a heterogeneous graph, and evaluates a spectrum of relational learning approaches — GraphSAGE, Graph Attention Networks (GAT), a Relational Graph Convolutional Network (R-GCN), a Heterogeneous Graph Transformer (HGT), and hypergraph convolution — against a gradient-boosted tree baseline (XGBoost) on a synthetic payment-fraud benchmark with realistic (~3%) class imbalance.</w:t>
      </w:r>
    </w:p>
    <w:p>
      <w:pPr>
        <w:pStyle w:val="Normal"/>
        <w:spacing w:lineRule="exact" w:line="276" w:before="0" w:after="200"/>
        <w:jc w:val="both"/>
        <w:rPr/>
      </w:pPr>
      <w:r>
        <w:rPr>
          <w:rFonts w:eastAsia="Calibri" w:cs="Calibri"/>
          <w:b w:val="false"/>
          <w:bCs w:val="false"/>
          <w:i w:val="false"/>
          <w:iCs w:val="false"/>
          <w:sz w:val="22"/>
          <w:szCs w:val="22"/>
        </w:rPr>
        <w:t>Critically, the benchmark's planted fraud rings are feature-camouflaged: individually, ring transactions are constructed to be statistically indistinguishable from legitimate ones on their own features, and recoverable only via shared-entity graph structure — forcing genuine separation of "detectable via features" from "detectable via network topology." The Heterogeneous Graph Transformer achieves an area under the precision-recall curve (AUPRC) of 0.797, versus 0.371 for XGBoost — a 115% relative improvement — while a calibrated stacking ensemble further improves operational recall at a fixed 1% false-positive budget.</w:t>
      </w:r>
    </w:p>
    <w:p>
      <w:pPr>
        <w:pStyle w:val="Normal"/>
        <w:spacing w:lineRule="exact" w:line="276" w:before="0" w:after="200"/>
        <w:jc w:val="both"/>
        <w:rPr/>
      </w:pPr>
      <w:r>
        <w:rPr>
          <w:rFonts w:eastAsia="Calibri" w:cs="Calibri"/>
          <w:b w:val="false"/>
          <w:bCs w:val="false"/>
          <w:i w:val="false"/>
          <w:iCs w:val="false"/>
          <w:sz w:val="22"/>
          <w:szCs w:val="22"/>
        </w:rPr>
        <w:t>We further show the architecture is not payment-specific. By generalizing the entity/relation schema into a domain-configurable abstraction (EntityRole, CollusionEdgeSpec, DomainGraphSchema), we validate a second, structurally distinct domain — anti-money-laundering (AML) transaction monitoring, with synthetic layering chains and smurfing rings — reusing the identical model code, with an even larger relative gap (HGT AUPRC 0.614 vs. XGBoost 0.131 — a 369% relative improvement). We report an honest negative result for conditional Wasserstein GAN (WGAN-GP) data augmentation, which did not improve the tabular baseline in this setting, and discuss deployment considerations including calibration trade-offs, the transductive-graph-snapshot problem, and a complementary unsupervised pipeline for analyzing real, unlabeled bank statements where a pretrained supervised model's output would not be honestly interpretable.</w:t>
      </w:r>
    </w:p>
    <w:p>
      <w:pPr>
        <w:pStyle w:val="Normal"/>
        <w:spacing w:lineRule="exact" w:line="276" w:before="0" w:after="200"/>
        <w:jc w:val="both"/>
        <w:rPr/>
      </w:pPr>
      <w:r>
        <w:rPr>
          <w:rFonts w:eastAsia="Calibri" w:cs="Calibri"/>
          <w:b/>
          <w:bCs/>
          <w:sz w:val="22"/>
          <w:szCs w:val="22"/>
        </w:rPr>
        <w:t xml:space="preserve">Keywords: </w:t>
      </w:r>
      <w:r>
        <w:rPr>
          <w:rFonts w:eastAsia="Calibri" w:cs="Calibri"/>
          <w:i/>
          <w:iCs/>
          <w:sz w:val="22"/>
          <w:szCs w:val="22"/>
        </w:rPr>
        <w:t>fraud detection; graph neural networks; heterogeneous graph transformer; anti-money laundering; generative adversarial networks; anomaly detection; financial crime</w:t>
      </w:r>
    </w:p>
    <w:p>
      <w:pPr>
        <w:pStyle w:val="Normal"/>
        <w:rPr/>
      </w:pPr>
      <w:r>
        <w:rPr/>
      </w:r>
      <w:r>
        <w:br w:type="page"/>
      </w:r>
    </w:p>
    <w:p>
      <w:pPr>
        <w:pStyle w:val="Heading1"/>
        <w:spacing w:before="360" w:after="180"/>
        <w:rPr/>
      </w:pPr>
      <w:r>
        <w:rPr/>
        <w:t>1. Introduction</w:t>
      </w:r>
    </w:p>
    <w:p>
      <w:pPr>
        <w:pStyle w:val="Heading2"/>
        <w:spacing w:before="260" w:after="140"/>
        <w:rPr/>
      </w:pPr>
      <w:r>
        <w:rPr/>
        <w:t>1.1 Motivation</w:t>
      </w:r>
    </w:p>
    <w:p>
      <w:pPr>
        <w:pStyle w:val="Normal"/>
        <w:spacing w:lineRule="exact" w:line="276" w:before="0" w:after="200"/>
        <w:jc w:val="both"/>
        <w:rPr/>
      </w:pPr>
      <w:r>
        <w:rPr>
          <w:rFonts w:eastAsia="Calibri" w:cs="Calibri"/>
          <w:b w:val="false"/>
          <w:bCs w:val="false"/>
          <w:i w:val="false"/>
          <w:iCs w:val="false"/>
          <w:sz w:val="22"/>
          <w:szCs w:val="22"/>
        </w:rPr>
        <w:t>Fraud detection has historically relied on rule-based systems and per-transaction tabular machine learning models — logistic regression, random forests, and, increasingly, gradient-boosted trees such as XGBoost [1]. These models are fast, well-understood, and effective at capturing feature-level anomalies (unusual amounts, mismatched merchant categories, suspicious timing). But they share a structural blind spot: each transaction is scored independently, with no visibility into the other transactions surrounding it.</w:t>
      </w:r>
    </w:p>
    <w:p>
      <w:pPr>
        <w:pStyle w:val="Normal"/>
        <w:spacing w:lineRule="exact" w:line="276" w:before="0" w:after="200"/>
        <w:jc w:val="both"/>
        <w:rPr/>
      </w:pPr>
      <w:r>
        <w:rPr>
          <w:rFonts w:eastAsia="Calibri" w:cs="Calibri"/>
          <w:b w:val="false"/>
          <w:bCs w:val="false"/>
          <w:i w:val="false"/>
          <w:iCs w:val="false"/>
          <w:sz w:val="22"/>
          <w:szCs w:val="22"/>
        </w:rPr>
        <w:t>Coordinated fraud, however, is inherently relational. Mule networks, layering chains, and smurfing rings are defined by the relationships between accounts — shared devices, shared IP addresses, funds passed hop-to-hop through a sequence of intermediaries, or many accounts funneling small amounts into one collector — not by any single transaction's own features. A tabular model, however well-tuned, cannot detect "this account transacted with forty others that all used the same device within the last 72 hours" because that fact does not exist in any single row it is given.</w:t>
      </w:r>
    </w:p>
    <w:p>
      <w:pPr>
        <w:pStyle w:val="Normal"/>
        <w:spacing w:lineRule="exact" w:line="276" w:before="0" w:after="200"/>
        <w:jc w:val="both"/>
        <w:rPr/>
      </w:pPr>
      <w:r>
        <w:rPr>
          <w:rFonts w:eastAsia="Calibri" w:cs="Calibri"/>
          <w:b w:val="false"/>
          <w:bCs w:val="false"/>
          <w:i w:val="false"/>
          <w:iCs w:val="false"/>
          <w:sz w:val="22"/>
          <w:szCs w:val="22"/>
        </w:rPr>
        <w:t>Graph neural networks (GNNs) address this by making relational structure a first-class model input rather than an engineered feature. However, the majority of published fraud-GNN systems target one fixed domain with a hardcoded graph schema, which makes reusing the architecture for a structurally different fraud domain — anti-money-laundering monitoring, insurance claims fraud, marketplace collusion — a substantial rewrite rather than a configuration change.</w:t>
      </w:r>
    </w:p>
    <w:p>
      <w:pPr>
        <w:pStyle w:val="Heading2"/>
        <w:spacing w:before="260" w:after="140"/>
        <w:rPr/>
      </w:pPr>
      <w:r>
        <w:rPr/>
        <w:t>1.2 Contributions</w:t>
      </w:r>
    </w:p>
    <w:p>
      <w:pPr>
        <w:pStyle w:val="Normal"/>
        <w:spacing w:lineRule="exact" w:line="276" w:before="0" w:after="200"/>
        <w:jc w:val="both"/>
        <w:rPr/>
      </w:pPr>
      <w:r>
        <w:rPr>
          <w:rFonts w:eastAsia="Calibri" w:cs="Calibri"/>
          <w:b w:val="false"/>
          <w:bCs w:val="false"/>
          <w:i w:val="false"/>
          <w:iCs w:val="false"/>
          <w:sz w:val="22"/>
          <w:szCs w:val="22"/>
        </w:rPr>
        <w:t>This paper makes four contributions:</w:t>
      </w:r>
    </w:p>
    <w:p>
      <w:pPr>
        <w:pStyle w:val="ListParagraph"/>
        <w:numPr>
          <w:ilvl w:val="0"/>
          <w:numId w:val="1"/>
        </w:numPr>
        <w:spacing w:before="0" w:after="100"/>
        <w:rPr/>
      </w:pPr>
      <w:r>
        <w:rPr>
          <w:rFonts w:eastAsia="Calibri" w:cs="Calibri"/>
          <w:sz w:val="22"/>
          <w:szCs w:val="22"/>
        </w:rPr>
        <w:t>A complete, reproducible graph-native fraud detection pipeline spanning conditional GAN-based augmentation, five distinct GNN architectures, a GBDT baseline, two unsupervised anomaly detectors, and a calibrated stacking ensemble, evaluated with fraud-appropriate metrics — area under the precision-recall curve (AUPRC), recall at a fixed false-positive rate, and precision/recall at a fixed alert budget (@k) — rather than accuracy, which is close to meaningless at realistic (~3%) fraud prevalence.</w:t>
      </w:r>
    </w:p>
    <w:p>
      <w:pPr>
        <w:pStyle w:val="ListParagraph"/>
        <w:numPr>
          <w:ilvl w:val="0"/>
          <w:numId w:val="1"/>
        </w:numPr>
        <w:spacing w:before="0" w:after="100"/>
        <w:rPr/>
      </w:pPr>
      <w:r>
        <w:rPr>
          <w:rFonts w:eastAsia="Calibri" w:cs="Calibri"/>
          <w:sz w:val="22"/>
          <w:szCs w:val="22"/>
        </w:rPr>
        <w:t>A synthetic data generation methodology with an explicit feature-camouflage discipline: fraud is deliberately constructed to be statistically near-indistinguishable from legitimate activity in per-row feature space, and recoverable only via graph structure. We show this discipline is necessary, not stylistic — an early generator draft without it let a tabular model achieve near-perfect separation, which would make any graph-versus-tabular comparison meaningless — and we operationalize the discipline as an automated regression test that caught the identical mistake reappearing in a second, independently written domain.</w:t>
      </w:r>
    </w:p>
    <w:p>
      <w:pPr>
        <w:pStyle w:val="ListParagraph"/>
        <w:numPr>
          <w:ilvl w:val="0"/>
          <w:numId w:val="1"/>
        </w:numPr>
        <w:spacing w:before="0" w:after="100"/>
        <w:rPr/>
      </w:pPr>
      <w:r>
        <w:rPr>
          <w:rFonts w:eastAsia="Calibri" w:cs="Calibri"/>
          <w:sz w:val="22"/>
          <w:szCs w:val="22"/>
        </w:rPr>
        <w:t>A domain-generalized graph schema (EntityRole, CollusionEdgeSpec, DomainGraphSchema) that decouples graph construction and model code from any single fraud domain's entity shape, validated by an exact-equivalence proof against the original hardcoded payment-fraud implementation and by a second, structurally distinct domain (AML transaction monitoring) built without modifying a single line of model code.</w:t>
      </w:r>
    </w:p>
    <w:p>
      <w:pPr>
        <w:pStyle w:val="ListParagraph"/>
        <w:numPr>
          <w:ilvl w:val="0"/>
          <w:numId w:val="1"/>
        </w:numPr>
        <w:spacing w:before="0" w:after="100"/>
        <w:rPr/>
      </w:pPr>
      <w:r>
        <w:rPr>
          <w:rFonts w:eastAsia="Calibri" w:cs="Calibri"/>
          <w:sz w:val="22"/>
          <w:szCs w:val="22"/>
        </w:rPr>
        <w:t>A discussion of practical deployment considerations often omitted from GNN-fraud papers: probability calibration trade-offs, the transductive-graph-snapshot problem for scoring genuinely new transactions, and a complementary unsupervised pipeline for analyzing real, unlabeled financial documents where a synthetic-trained supervised model's output would not be honestly interpretable.</w:t>
      </w:r>
    </w:p>
    <w:p>
      <w:pPr>
        <w:pStyle w:val="Heading1"/>
        <w:spacing w:before="360" w:after="180"/>
        <w:rPr/>
      </w:pPr>
      <w:r>
        <w:rPr/>
        <w:t>2. Related Work</w:t>
      </w:r>
    </w:p>
    <w:p>
      <w:pPr>
        <w:pStyle w:val="Heading2"/>
        <w:spacing w:before="260" w:after="140"/>
        <w:rPr/>
      </w:pPr>
      <w:r>
        <w:rPr/>
        <w:t>2.1 Tabular Fraud Detection</w:t>
      </w:r>
    </w:p>
    <w:p>
      <w:pPr>
        <w:pStyle w:val="Normal"/>
        <w:spacing w:lineRule="exact" w:line="276" w:before="0" w:after="200"/>
        <w:jc w:val="both"/>
        <w:rPr/>
      </w:pPr>
      <w:r>
        <w:rPr>
          <w:rFonts w:eastAsia="Calibri" w:cs="Calibri"/>
          <w:b w:val="false"/>
          <w:bCs w:val="false"/>
          <w:i w:val="false"/>
          <w:iCs w:val="false"/>
          <w:sz w:val="22"/>
          <w:szCs w:val="22"/>
        </w:rPr>
        <w:t>Gradient-boosted decision tree ensembles, particularly XGBoost [1], remain a strong, fast, and interpretable baseline for structured fraud data and are widely deployed in industry. Their central limitation for coordinated fraud is architectural: they consume one feature vector per prediction and have no mechanism to condition on the surrounding transaction graph.</w:t>
      </w:r>
    </w:p>
    <w:p>
      <w:pPr>
        <w:pStyle w:val="Heading2"/>
        <w:spacing w:before="260" w:after="140"/>
        <w:rPr/>
      </w:pPr>
      <w:r>
        <w:rPr/>
        <w:t>2.2 Generative Adversarial Networks for Minority-Class Augmentation</w:t>
      </w:r>
    </w:p>
    <w:p>
      <w:pPr>
        <w:pStyle w:val="Normal"/>
        <w:spacing w:lineRule="exact" w:line="276" w:before="0" w:after="200"/>
        <w:jc w:val="both"/>
        <w:rPr/>
      </w:pPr>
      <w:r>
        <w:rPr>
          <w:rFonts w:eastAsia="Calibri" w:cs="Calibri"/>
          <w:b w:val="false"/>
          <w:bCs w:val="false"/>
          <w:i w:val="false"/>
          <w:iCs w:val="false"/>
          <w:sz w:val="22"/>
          <w:szCs w:val="22"/>
        </w:rPr>
        <w:t>Goodfellow et al. [2] introduced the Generative Adversarial Network, in which a generator and discriminator are trained adversarially to approximate a data distribution. Vanilla GANs are known to be difficult to train and prone to mode collapse, a failure mode that disproportionately affects minority classes — precisely the fraud class in an imbalanced detection setting. Gulrajani et al. [3] introduced the Wasserstein GAN with gradient penalty (WGAN-GP), replacing the discriminator with a Lipschitz-constrained critic trained via a gradient-penalty term, which substantially improves training stability.</w:t>
      </w:r>
    </w:p>
    <w:p>
      <w:pPr>
        <w:pStyle w:val="Heading2"/>
        <w:spacing w:before="260" w:after="140"/>
        <w:rPr/>
      </w:pPr>
      <w:r>
        <w:rPr/>
        <w:t>2.3 Graph Neural Networks</w:t>
      </w:r>
    </w:p>
    <w:p>
      <w:pPr>
        <w:pStyle w:val="Normal"/>
        <w:spacing w:lineRule="exact" w:line="276" w:before="0" w:after="200"/>
        <w:jc w:val="both"/>
        <w:rPr/>
      </w:pPr>
      <w:r>
        <w:rPr>
          <w:rFonts w:eastAsia="Calibri" w:cs="Calibri"/>
          <w:b w:val="false"/>
          <w:bCs w:val="false"/>
          <w:i w:val="false"/>
          <w:iCs w:val="false"/>
          <w:sz w:val="22"/>
          <w:szCs w:val="22"/>
        </w:rPr>
        <w:t>Kipf and Welling [4] introduced the Graph Convolutional Network (GCN), a spectral approximation enabling efficient semi-supervised learning on graphs. Hamilton et al. [5] introduced GraphSAGE, an inductive framework that learns an aggregation function over sampled neighborhoods rather than a fixed per-node embedding, allowing it to generalize to nodes unseen during training. Veličković et al. [6] introduced Graph Attention Networks (GAT), which learn per-edge attention weights during neighborhood aggregation.</w:t>
      </w:r>
    </w:p>
    <w:p>
      <w:pPr>
        <w:pStyle w:val="Heading2"/>
        <w:spacing w:before="260" w:after="140"/>
        <w:rPr/>
      </w:pPr>
      <w:r>
        <w:rPr/>
        <w:t>2.4 Heterogeneous and Relational Graph Learning</w:t>
      </w:r>
    </w:p>
    <w:p>
      <w:pPr>
        <w:pStyle w:val="Normal"/>
        <w:spacing w:lineRule="exact" w:line="276" w:before="0" w:after="200"/>
        <w:jc w:val="both"/>
        <w:rPr/>
      </w:pPr>
      <w:r>
        <w:rPr>
          <w:rFonts w:eastAsia="Calibri" w:cs="Calibri"/>
          <w:b w:val="false"/>
          <w:bCs w:val="false"/>
          <w:i w:val="false"/>
          <w:iCs w:val="false"/>
          <w:sz w:val="22"/>
          <w:szCs w:val="22"/>
        </w:rPr>
        <w:t>Real-world fraud graphs are rarely homogeneous: accounts, devices, IP addresses, and merchants are distinct entity types connected by distinct relation types. Schlichtkrull et al. [7] introduced the Relational Graph Convolutional Network (R-GCN), which assigns a separate weight matrix per relation type for multi-relational graphs such as knowledge bases. Hu et al. [8] introduced the Heterogeneous Graph Transformer (HGT), which instead learns type-specific attention parameters per relation, a design better suited to graphs with highly uneven relation-type distributions — a small number of merchant edges alongside a large number of device-sharing edges, for example.</w:t>
      </w:r>
    </w:p>
    <w:p>
      <w:pPr>
        <w:pStyle w:val="Heading2"/>
        <w:spacing w:before="260" w:after="140"/>
        <w:rPr/>
      </w:pPr>
      <w:r>
        <w:rPr/>
        <w:t>2.5 Hypergraph Learning</w:t>
      </w:r>
    </w:p>
    <w:p>
      <w:pPr>
        <w:pStyle w:val="Normal"/>
        <w:spacing w:lineRule="exact" w:line="276" w:before="0" w:after="200"/>
        <w:jc w:val="both"/>
        <w:rPr/>
      </w:pPr>
      <w:r>
        <w:rPr>
          <w:rFonts w:eastAsia="Calibri" w:cs="Calibri"/>
          <w:b w:val="false"/>
          <w:bCs w:val="false"/>
          <w:i w:val="false"/>
          <w:iCs w:val="false"/>
          <w:sz w:val="22"/>
          <w:szCs w:val="22"/>
        </w:rPr>
        <w:t>Feng et al. [9] introduced Hypergraph Neural Networks, generalizing pairwise graph edges to n-ary hyperedges connecting arbitrarily many nodes at once. This is directly relevant to fraud rings in which a group of accounts jointly participates in a single coordinated event (a shared device, IP, and time window), rather than being connected only through a chain of pairwise relationships.</w:t>
      </w:r>
    </w:p>
    <w:p>
      <w:pPr>
        <w:pStyle w:val="Heading2"/>
        <w:spacing w:before="260" w:after="140"/>
        <w:rPr/>
      </w:pPr>
      <w:r>
        <w:rPr/>
        <w:t>2.6 Graph-Based Fraud Detection and Unsupervised Signals</w:t>
      </w:r>
    </w:p>
    <w:p>
      <w:pPr>
        <w:pStyle w:val="Normal"/>
        <w:spacing w:lineRule="exact" w:line="276" w:before="0" w:after="200"/>
        <w:jc w:val="both"/>
        <w:rPr/>
      </w:pPr>
      <w:r>
        <w:rPr>
          <w:rFonts w:eastAsia="Calibri" w:cs="Calibri"/>
          <w:b w:val="false"/>
          <w:bCs w:val="false"/>
          <w:i w:val="false"/>
          <w:iCs w:val="false"/>
          <w:sz w:val="22"/>
          <w:szCs w:val="22"/>
        </w:rPr>
        <w:t>Pourhabibi et al. [10] survey graph-based anomaly detection approaches for fraud detection, observing that the great majority of published systems are built for one fixed domain and dataset. Complementing supervised graph learning, this work also draws on two long-standing unsupervised techniques: Nigrini [11] on Benford's Law as a forensic-accounting tool for detecting fabricated or manipulated financial figures via leading-digit distribution, Liu et al. [12] on Isolation Forest for anomaly detection via random recursive partitioning, and Sakurada and Yairi [13] on autoencoder reconstruction error as an anomaly signal — all three reused in this work's unsupervised components.</w:t>
      </w:r>
    </w:p>
    <w:p>
      <w:pPr>
        <w:pStyle w:val="Heading1"/>
        <w:spacing w:before="360" w:after="180"/>
        <w:rPr/>
      </w:pPr>
      <w:r>
        <w:rPr/>
        <w:t>3. System Architecture</w:t>
      </w:r>
    </w:p>
    <w:p>
      <w:pPr>
        <w:pStyle w:val="Heading2"/>
        <w:spacing w:before="260" w:after="140"/>
        <w:rPr/>
      </w:pPr>
      <w:r>
        <w:rPr/>
        <w:t>3.1 Design Principles</w:t>
      </w:r>
    </w:p>
    <w:p>
      <w:pPr>
        <w:pStyle w:val="Normal"/>
        <w:spacing w:lineRule="exact" w:line="276" w:before="0" w:after="200"/>
        <w:jc w:val="both"/>
        <w:rPr/>
      </w:pPr>
      <w:r>
        <w:rPr>
          <w:rFonts w:eastAsia="Calibri" w:cs="Calibri"/>
          <w:b w:val="false"/>
          <w:bCs w:val="false"/>
          <w:i w:val="false"/>
          <w:iCs w:val="false"/>
          <w:sz w:val="22"/>
          <w:szCs w:val="22"/>
        </w:rPr>
        <w:t>The system is built around one governing constraint: no model, graph-construction routine, or training script may reference a dataset-specific column name directly. Every component reads the dataframe only through a schema object — FraudDatasetSchema for the original fixed-entity design, generalized in Section 3.4 into DomainGraphSchema for arbitrary entity shapes. This is what allows the identical model code to be validated against two structurally distinct fraud domains (Section 7) without modification, and what allows a new dataset to plug in as a new adapter rather than a codebase fork.</w:t>
      </w:r>
    </w:p>
    <w:p>
      <w:pPr>
        <w:pStyle w:val="Heading2"/>
        <w:spacing w:before="260" w:after="140"/>
        <w:rPr/>
      </w:pPr>
      <w:r>
        <w:rPr/>
        <w:t>3.2 Data Layer</w:t>
      </w:r>
    </w:p>
    <w:p>
      <w:pPr>
        <w:pStyle w:val="Normal"/>
        <w:spacing w:lineRule="exact" w:line="276" w:before="0" w:after="200"/>
        <w:jc w:val="both"/>
        <w:rPr/>
      </w:pPr>
      <w:r>
        <w:rPr>
          <w:rFonts w:eastAsia="Calibri" w:cs="Calibri"/>
          <w:b w:val="false"/>
          <w:bCs w:val="false"/>
          <w:i w:val="false"/>
          <w:iCs w:val="false"/>
          <w:sz w:val="22"/>
          <w:szCs w:val="22"/>
        </w:rPr>
        <w:t>A BaseDatasetAdapter abstract interface exposes three operations: load() reads a dataset's native files into a dataframe; get_schema() describes which columns play which role; to_canonical() renames dataset-specific identifier columns to a canonical vocabulary (sender_id, device_id, label, and so on) that downstream graph-construction and training code targets uniformly. Three adapters are implemented: a synthetic relational-payments generator (Section 4.3), a synthetic AML generator (Section 4.4), and an adapter for the IEEE-CIS Fraud Detection dataset structure, discussed in Section 8.3.</w:t>
      </w:r>
    </w:p>
    <w:p>
      <w:pPr>
        <w:pStyle w:val="Heading2"/>
        <w:spacing w:before="260" w:after="140"/>
        <w:rPr/>
      </w:pPr>
      <w:r>
        <w:rPr/>
        <w:t>3.3 Graph Construction</w:t>
      </w:r>
    </w:p>
    <w:p>
      <w:pPr>
        <w:pStyle w:val="Normal"/>
        <w:spacing w:lineRule="exact" w:line="276" w:before="0" w:after="200"/>
        <w:jc w:val="both"/>
        <w:rPr/>
      </w:pPr>
      <w:r>
        <w:rPr>
          <w:rFonts w:eastAsia="Calibri" w:cs="Calibri"/>
          <w:b w:val="false"/>
          <w:bCs w:val="false"/>
          <w:i w:val="false"/>
          <w:iCs w:val="false"/>
          <w:sz w:val="22"/>
          <w:szCs w:val="22"/>
        </w:rPr>
        <w:t>Three graph representations are built from the same canonical dataframe. A heterogeneous graph instantiates one node per entity type (transaction, account, device, IP, merchant for payments) and directed edges for each entity role a transaction references, plus derived collusion edges connecting entities that co-occur on the same device, IP, or (in the AML domain) beneficiary within a bounded time window — the mechanism that exposes planted fraud rings to a heterogeneous GNN's message passing. A homogeneous transaction-projection graph instead connects pairs of transactions that share an entity, discarding entity-type information but avoiding the need for entity-embedding tables. A hypergraph groups transactions sharing a (device, IP, recipient) triple into a single hyperedge, modeling n-ary coordination directly rather than through pairwise collusion edges.</w:t>
      </w:r>
    </w:p>
    <w:p>
      <w:pPr>
        <w:pStyle w:val="Heading2"/>
        <w:spacing w:before="260" w:after="140"/>
        <w:rPr/>
      </w:pPr>
      <w:r>
        <w:rPr/>
        <w:t>3.4 Generalized Domain Schema</w:t>
      </w:r>
    </w:p>
    <w:p>
      <w:pPr>
        <w:pStyle w:val="Normal"/>
        <w:spacing w:lineRule="exact" w:line="276" w:before="0" w:after="200"/>
        <w:jc w:val="both"/>
        <w:rPr/>
      </w:pPr>
      <w:r>
        <w:rPr>
          <w:rFonts w:eastAsia="Calibri" w:cs="Calibri"/>
          <w:b w:val="false"/>
          <w:bCs w:val="false"/>
          <w:i w:val="false"/>
          <w:iCs w:val="false"/>
          <w:sz w:val="22"/>
          <w:szCs w:val="22"/>
        </w:rPr>
        <w:t xml:space="preserve">FraudDatasetSchema has five fixed entity-identifier fields (sender, recipient, device, IP, merchant), sufficient for the payments domain but not for a domain with a genuinely different entity shape. We introduce an additive generalization: EntityRole(role_name, node_type, id_col, ...) describes one entity a transaction references, with multiple roles able to merge into one shared node_type (as sender and recipient both merge into an </w:t>
      </w:r>
    </w:p>
    <w:p>
      <w:pPr>
        <w:pStyle w:val="Normal"/>
        <w:spacing w:lineRule="exact" w:line="276" w:before="0" w:after="200"/>
        <w:jc w:val="both"/>
        <w:rPr/>
      </w:pPr>
      <w:r>
        <w:rPr>
          <w:rFonts w:eastAsia="Calibri" w:cs="Calibri"/>
          <w:i/>
          <w:iCs/>
          <w:sz w:val="22"/>
          <w:szCs w:val="22"/>
        </w:rPr>
        <w:t>account</w:t>
      </w:r>
      <w:r>
        <w:rPr>
          <w:rFonts w:eastAsia="Calibri" w:cs="Calibri"/>
          <w:sz w:val="22"/>
          <w:szCs w:val="22"/>
        </w:rPr>
        <w:t xml:space="preserve"> node type). CollusionEdgeSpec(anchor_role_name, shared_role_name, edge_name, max_gap, max_group_size) describes a derived entity-entity edge, now with an explicit time window and a per-specification group-size cap, both required for a domain like AML where "shared a beneficiary at any point in six months of history" is meaningless but "shared a beneficiary within 48 hours" is a genuine smurfing signal. DomainGraphSchema composes these into a complete, domain-agnostic contract. A converter function expresses the existing payments schema in this generalized form, and an automated test proves the two graph-construction code paths produce structurally identical graphs on identical data before any new domain is built on top of the generalized path — the evidence, not merely the assertion, that the generalization did not alter existing behavior.</w:t>
      </w:r>
    </w:p>
    <w:p>
      <w:pPr>
        <w:pStyle w:val="Heading2"/>
        <w:spacing w:before="260" w:after="140"/>
        <w:rPr/>
      </w:pPr>
      <w:r>
        <w:rPr/>
        <w:t>3.5 Model Layer</w:t>
      </w:r>
    </w:p>
    <w:p>
      <w:pPr>
        <w:pStyle w:val="Normal"/>
        <w:spacing w:lineRule="exact" w:line="276" w:before="0" w:after="200"/>
        <w:jc w:val="both"/>
        <w:rPr/>
      </w:pPr>
      <w:r>
        <w:rPr>
          <w:rFonts w:eastAsia="Calibri" w:cs="Calibri"/>
          <w:b w:val="false"/>
          <w:bCs w:val="false"/>
          <w:i w:val="false"/>
          <w:iCs w:val="false"/>
          <w:sz w:val="22"/>
          <w:szCs w:val="22"/>
        </w:rPr>
        <w:t>All model classes consume a graph object and a feature matrix and are agnostic to which domain produced them, with one caveat: the Heterogeneous Graph Transformer and R-GCN implementations reference a specific node-type string as the feature-carrying event node. This was surfaced during the generalization effort as a genuine, previously undocumented coupling — not a design intended from the outset — and resolved by giving the AML domain's event node type the same name ("transaction") rather than modifying two working, tested model files. GraphSAGE and GAT have no such coupling. Model architectures are detailed in Section 5.</w:t>
      </w:r>
    </w:p>
    <w:p>
      <w:pPr>
        <w:pStyle w:val="Heading2"/>
        <w:spacing w:before="260" w:after="140"/>
        <w:rPr/>
      </w:pPr>
      <w:r>
        <w:rPr/>
        <w:t>3.6 Serving Layer</w:t>
      </w:r>
    </w:p>
    <w:p>
      <w:pPr>
        <w:pStyle w:val="Normal"/>
        <w:spacing w:lineRule="exact" w:line="276" w:before="0" w:after="200"/>
        <w:jc w:val="both"/>
        <w:rPr/>
      </w:pPr>
      <w:r>
        <w:rPr>
          <w:rFonts w:eastAsia="Calibri" w:cs="Calibri"/>
          <w:b w:val="false"/>
          <w:bCs w:val="false"/>
          <w:i w:val="false"/>
          <w:iCs w:val="false"/>
          <w:sz w:val="22"/>
          <w:szCs w:val="22"/>
        </w:rPr>
        <w:t>A FraudEnsemblePredictor loads a trained ensemble bundle and serves predictions for transactions already present in the graph snapshot it was built from, plus a separate, non-graph baseline path for a legacy flat-feature payload shape retained for backward compatibility. Section 8.2 discusses why this transductive limitation is fundamental to GraphSAGE/HGT-style models, and how a production deployment addresses it.</w:t>
      </w:r>
    </w:p>
    <w:p>
      <w:pPr>
        <w:pStyle w:val="Heading1"/>
        <w:spacing w:before="360" w:after="180"/>
        <w:rPr/>
      </w:pPr>
      <w:r>
        <w:rPr/>
        <w:t>4. Synthetic Data Generation Methodology</w:t>
      </w:r>
    </w:p>
    <w:p>
      <w:pPr>
        <w:pStyle w:val="Heading2"/>
        <w:spacing w:before="260" w:after="140"/>
        <w:rPr/>
      </w:pPr>
      <w:r>
        <w:rPr/>
        <w:t>4.1 Rationale</w:t>
      </w:r>
    </w:p>
    <w:p>
      <w:pPr>
        <w:pStyle w:val="Normal"/>
        <w:spacing w:lineRule="exact" w:line="276" w:before="0" w:after="200"/>
        <w:jc w:val="both"/>
        <w:rPr/>
      </w:pPr>
      <w:r>
        <w:rPr>
          <w:rFonts w:eastAsia="Calibri" w:cs="Calibri"/>
          <w:b w:val="false"/>
          <w:bCs w:val="false"/>
          <w:i w:val="false"/>
          <w:iCs w:val="false"/>
          <w:sz w:val="22"/>
          <w:szCs w:val="22"/>
        </w:rPr>
        <w:t>No public dataset combines transaction-level tabular features with a ground-truth entity graph at the fidelity required to isolate "detectable via features" from "detectable via network topology" — the central question this paper investigates. Synthetic generation additionally avoids handling real personally identifiable financial data and allows the planted fraud topology to be known exactly, which is what makes the pattern-detector and graph-structure tests in this work possible.</w:t>
      </w:r>
    </w:p>
    <w:p>
      <w:pPr>
        <w:pStyle w:val="Heading2"/>
        <w:spacing w:before="260" w:after="140"/>
        <w:rPr/>
      </w:pPr>
      <w:r>
        <w:rPr/>
        <w:t>4.2 The Feature-Camouflage Discipline</w:t>
      </w:r>
    </w:p>
    <w:p>
      <w:pPr>
        <w:pStyle w:val="Normal"/>
        <w:spacing w:lineRule="exact" w:line="276" w:before="0" w:after="200"/>
        <w:jc w:val="both"/>
        <w:rPr/>
      </w:pPr>
      <w:r>
        <w:rPr>
          <w:rFonts w:eastAsia="Calibri" w:cs="Calibri"/>
          <w:b w:val="false"/>
          <w:bCs w:val="false"/>
          <w:i w:val="false"/>
          <w:iCs w:val="false"/>
          <w:sz w:val="22"/>
          <w:szCs w:val="22"/>
        </w:rPr>
        <w:t>A first draft of the payments generator made planted fraud-ring transactions also feature-anomalous (higher amounts, more red-flag categorical values). A features-only XGBoost classifier trained on this data achieved AUPRC ≈ 1.0, meaning the tabular baseline already solved the detection problem perfectly and no graph model could meaningfully improve on it — a null result that would have undermined the entire comparative study.</w:t>
      </w:r>
    </w:p>
    <w:p>
      <w:pPr>
        <w:pStyle w:val="Normal"/>
        <w:spacing w:lineRule="exact" w:line="276" w:before="0" w:after="200"/>
        <w:jc w:val="both"/>
        <w:rPr/>
      </w:pPr>
      <w:r>
        <w:rPr>
          <w:rFonts w:eastAsia="Calibri" w:cs="Calibri"/>
          <w:b w:val="false"/>
          <w:bCs w:val="false"/>
          <w:i w:val="false"/>
          <w:iCs w:val="false"/>
          <w:sz w:val="22"/>
          <w:szCs w:val="22"/>
        </w:rPr>
        <w:t>The corrected design: approximately 85% of transactions belonging to a planted fraud ring or chain draw every per-row feature — including transaction amount — from the identical distribution used for ordinary legitimate transactions. Only the remaining 15% carry a distinctive feature signature, reflecting that real coordinated fraud is not perfectly disciplined. The ring or chain is detectable, if at all, through the shared-entity graph structure its members necessarily create (a shared device, IP, or, in the AML domain, a shared beneficiary), not through any individual transaction's own attributes.</w:t>
      </w:r>
    </w:p>
    <w:p>
      <w:pPr>
        <w:pStyle w:val="Normal"/>
        <w:spacing w:lineRule="exact" w:line="276" w:before="0" w:after="200"/>
        <w:jc w:val="both"/>
        <w:rPr/>
      </w:pPr>
      <w:r>
        <w:rPr>
          <w:rFonts w:eastAsia="Calibri" w:cs="Calibri"/>
          <w:b w:val="false"/>
          <w:bCs w:val="false"/>
          <w:i w:val="false"/>
          <w:iCs w:val="false"/>
          <w:sz w:val="22"/>
          <w:szCs w:val="22"/>
        </w:rPr>
        <w:t>This discipline is operationalized as an automated test, not a one-time manual check: each domain's test suite fits a features-only XGBoost model on the planted fraud and asserts its AUPRC remains below a ceiling. This test caught the identical mistake reappearing, independently, while writing the AML generator (a first draft again reached AUPRC ≈ 0.96 on features alone, traced to transaction amount being unconditionally overridden by the layering-chain and smurfing amount logic regardless of the intended camouflage split) — direct evidence the discipline generalizes as a methodology, and that automating it is worth the effort of writing the test.</w:t>
      </w:r>
    </w:p>
    <w:p>
      <w:pPr>
        <w:pStyle w:val="Heading2"/>
        <w:spacing w:before="260" w:after="140"/>
        <w:rPr/>
      </w:pPr>
      <w:r>
        <w:rPr/>
        <w:t>4.3 Payments Dataset</w:t>
      </w:r>
    </w:p>
    <w:p>
      <w:pPr>
        <w:pStyle w:val="Normal"/>
        <w:spacing w:lineRule="exact" w:line="276" w:before="0" w:after="200"/>
        <w:jc w:val="both"/>
        <w:rPr/>
      </w:pPr>
      <w:r>
        <w:rPr>
          <w:rFonts w:eastAsia="Calibri" w:cs="Calibri"/>
          <w:b w:val="false"/>
          <w:bCs w:val="false"/>
          <w:i w:val="false"/>
          <w:iCs w:val="false"/>
          <w:sz w:val="22"/>
          <w:szCs w:val="22"/>
        </w:rPr>
        <w:t>20,000 transactions over a 2,000-account, 1,200-device, 1,200-IP, 300-merchant population with Zipf-skewed popularity (realistic entity reuse rather than uniform random assignment), 20 engineered feature columns (transaction amount, recipient verification status, device fingerprinting flags, behavioral biometrics, and related signals), and a realistic 2.97% fraud rate. Forty fraud rings are planted: small clusters of accounts sharing a device and IP, transacting with a common drop account within a tight time window.</w:t>
      </w:r>
    </w:p>
    <w:p>
      <w:pPr>
        <w:pStyle w:val="Heading2"/>
        <w:spacing w:before="260" w:after="140"/>
        <w:rPr/>
      </w:pPr>
      <w:r>
        <w:rPr/>
        <w:t>4.4 AML Dataset</w:t>
      </w:r>
    </w:p>
    <w:p>
      <w:pPr>
        <w:pStyle w:val="Normal"/>
        <w:spacing w:lineRule="exact" w:line="276" w:before="0" w:after="200"/>
        <w:jc w:val="both"/>
        <w:rPr/>
      </w:pPr>
      <w:r>
        <w:rPr>
          <w:rFonts w:eastAsia="Calibri" w:cs="Calibri"/>
          <w:b w:val="false"/>
          <w:bCs w:val="false"/>
          <w:i w:val="false"/>
          <w:iCs w:val="false"/>
          <w:sz w:val="22"/>
          <w:szCs w:val="22"/>
        </w:rPr>
        <w:t>20,000 transactions over a comparable entity population, restructured around two anti-money-laundering-specific fraud typologies rather than payments' simple rings. Layering chains pass funds through a sequence of three to six mule accounts, with a heavy-tailed hold time between hops (no fixed cutoff), a small per-hop fee decay, and a small shared device/IP pool reused across the chain. Smurfing rings recruit 15 to 45 distinct low-value "smurf" accounts to each fund a common collector account with amounts just under a common regulatory reporting threshold, spread over several days rather than compressed into a single window. A realistic 2.99% fraud rate results, and the graph schema (Section 3.4) adds a shares_beneficiary collusion edge — many originators paying the same beneficiary within a week — with no equivalent in the payments schema, directly targeting the smurfing typology.</w:t>
      </w:r>
    </w:p>
    <w:p>
      <w:pPr>
        <w:pStyle w:val="Heading1"/>
        <w:spacing w:before="360" w:after="180"/>
        <w:rPr/>
      </w:pPr>
      <w:r>
        <w:rPr/>
        <w:t>5. Model Architectures</w:t>
      </w:r>
    </w:p>
    <w:p>
      <w:pPr>
        <w:pStyle w:val="Heading2"/>
        <w:spacing w:before="260" w:after="140"/>
        <w:rPr/>
      </w:pPr>
      <w:r>
        <w:rPr/>
        <w:t>5.1 Conditional WGAN-GP</w:t>
      </w:r>
    </w:p>
    <w:p>
      <w:pPr>
        <w:pStyle w:val="Normal"/>
        <w:spacing w:lineRule="exact" w:line="276" w:before="0" w:after="200"/>
        <w:jc w:val="both"/>
        <w:rPr/>
      </w:pPr>
      <w:r>
        <w:rPr>
          <w:rFonts w:eastAsia="Calibri" w:cs="Calibri"/>
          <w:b w:val="false"/>
          <w:bCs w:val="false"/>
          <w:i w:val="false"/>
          <w:iCs w:val="false"/>
          <w:sz w:val="22"/>
          <w:szCs w:val="22"/>
        </w:rPr>
        <w:t>The generator is conditioned on Gaussian noise concatenated with the one-hot-encoded class label, replacing the unconditional design common in early tabular-GAN work, in which class labels are assigned to generated rows only after the fact by sampling the real class ratio — a design that never teaches the generator what distinguishes the minority class at all. The discriminator is replaced with a Wasserstein critic and a gradient-penalty term following Gulrajani et al. [3], chosen because vanilla GAN training is most unstable on exactly the minority class this component exists to synthesize. Class-balanced batch sampling (a WeightedRandomSampler over inverse class frequency) ensures the ~3% minority class receives comparable gradient signal to the majority class despite the severe base-rate imbalance.</w:t>
      </w:r>
    </w:p>
    <w:p>
      <w:pPr>
        <w:pStyle w:val="Heading2"/>
        <w:spacing w:before="260" w:after="140"/>
        <w:rPr/>
      </w:pPr>
      <w:r>
        <w:rPr/>
        <w:t>5.2 GraphSAGE and GAT</w:t>
      </w:r>
    </w:p>
    <w:p>
      <w:pPr>
        <w:pStyle w:val="Normal"/>
        <w:spacing w:lineRule="exact" w:line="276" w:before="0" w:after="200"/>
        <w:jc w:val="both"/>
        <w:rPr/>
      </w:pPr>
      <w:r>
        <w:rPr>
          <w:rFonts w:eastAsia="Calibri" w:cs="Calibri"/>
          <w:b w:val="false"/>
          <w:bCs w:val="false"/>
          <w:i w:val="false"/>
          <w:iCs w:val="false"/>
          <w:sz w:val="22"/>
          <w:szCs w:val="22"/>
        </w:rPr>
        <w:t>GraphSAGE [5] is used as the primary homogeneous graph model for its inductive property: it learns an aggregation function over a node's neighborhood rather than a fixed per-node embedding table, and can in principle score a new node without retraining, unlike a purely transductive model. GAT [6] is included as an attention-based variant whose per-edge attention weights offer a secondary explainability signal — which neighboring transaction most influenced a given score — that uniform-aggregation GraphSAGE does not provide.</w:t>
      </w:r>
    </w:p>
    <w:p>
      <w:pPr>
        <w:pStyle w:val="Heading2"/>
        <w:spacing w:before="260" w:after="140"/>
        <w:rPr/>
      </w:pPr>
      <w:r>
        <w:rPr/>
        <w:t>5.3 Heterogeneous Graph Transformer</w:t>
      </w:r>
    </w:p>
    <w:p>
      <w:pPr>
        <w:pStyle w:val="Normal"/>
        <w:spacing w:lineRule="exact" w:line="276" w:before="0" w:after="200"/>
        <w:jc w:val="both"/>
        <w:rPr/>
      </w:pPr>
      <w:r>
        <w:rPr>
          <w:rFonts w:eastAsia="Calibri" w:cs="Calibri"/>
          <w:b w:val="false"/>
          <w:bCs w:val="false"/>
          <w:i w:val="false"/>
          <w:iCs w:val="false"/>
          <w:sz w:val="22"/>
          <w:szCs w:val="22"/>
        </w:rPr>
        <w:t>HGT [8] is the primary heterogeneous model. Entity node types with no native features (account, device, IP, merchant) are represented by a learned embedding indexed by node identity; the event node type carries the real preprocessed transaction feature vector. HGT's type-specific attention parameters per relation are the architectural property motivating its selection over R-GCN's uniform per-relation weight matrices: this graph's relation-type distribution is highly uneven (a handful of merchant edges against a large number of device-sharing edges), and attention allows the model to allocate capacity accordingly.</w:t>
      </w:r>
    </w:p>
    <w:p>
      <w:pPr>
        <w:pStyle w:val="Heading2"/>
        <w:spacing w:before="260" w:after="140"/>
        <w:rPr/>
      </w:pPr>
      <w:r>
        <w:rPr/>
        <w:t>5.4 Relational Graph Convolutional Network</w:t>
      </w:r>
    </w:p>
    <w:p>
      <w:pPr>
        <w:pStyle w:val="Normal"/>
        <w:spacing w:lineRule="exact" w:line="276" w:before="0" w:after="200"/>
        <w:jc w:val="both"/>
        <w:rPr/>
      </w:pPr>
      <w:r>
        <w:rPr>
          <w:rFonts w:eastAsia="Calibri" w:cs="Calibri"/>
          <w:b w:val="false"/>
          <w:bCs w:val="false"/>
          <w:i w:val="false"/>
          <w:iCs w:val="false"/>
          <w:sz w:val="22"/>
          <w:szCs w:val="22"/>
        </w:rPr>
        <w:t>R-GCN [7] is included as a cheaper heterogeneous fallback and an ablation point against HGT: it assigns a fixed per-relation weight matrix (implemented via PyTorch Geometric's HeteroConv wrapping a per-edge-type GraphSAGE convolution) rather than learning attention over relations, testing whether HGT's additional attention machinery earns its extra parameter and computation cost on this graph structure.</w:t>
      </w:r>
    </w:p>
    <w:p>
      <w:pPr>
        <w:pStyle w:val="Heading2"/>
        <w:spacing w:before="260" w:after="140"/>
        <w:rPr/>
      </w:pPr>
      <w:r>
        <w:rPr/>
        <w:t>5.5 Hypergraph Convolution</w:t>
      </w:r>
    </w:p>
    <w:p>
      <w:pPr>
        <w:pStyle w:val="Normal"/>
        <w:spacing w:lineRule="exact" w:line="276" w:before="0" w:after="200"/>
        <w:jc w:val="both"/>
        <w:rPr/>
      </w:pPr>
      <w:r>
        <w:rPr>
          <w:rFonts w:eastAsia="Calibri" w:cs="Calibri"/>
          <w:b w:val="false"/>
          <w:bCs w:val="false"/>
          <w:i w:val="false"/>
          <w:iCs w:val="false"/>
          <w:sz w:val="22"/>
          <w:szCs w:val="22"/>
        </w:rPr>
        <w:t>A HypergraphConv model [9] is evaluated as an optional, stretch-goal architecture, connecting all transactions sharing a (device, IP, recipient) triple into one hyperedge rather than the O(k²) pairwise collusion edges the heterogeneous graph builder uses for the same grouping — a more faithful representation of "this whole group acted together" at the cost of losing the type-aware attention HGT provides over individually named relations.</w:t>
      </w:r>
    </w:p>
    <w:p>
      <w:pPr>
        <w:pStyle w:val="Heading2"/>
        <w:spacing w:before="260" w:after="140"/>
        <w:rPr/>
      </w:pPr>
      <w:r>
        <w:rPr/>
        <w:t>5.6 Gradient-Boosted Trees</w:t>
      </w:r>
    </w:p>
    <w:p>
      <w:pPr>
        <w:pStyle w:val="Normal"/>
        <w:spacing w:lineRule="exact" w:line="276" w:before="0" w:after="200"/>
        <w:jc w:val="both"/>
        <w:rPr/>
      </w:pPr>
      <w:r>
        <w:rPr>
          <w:rFonts w:eastAsia="Calibri" w:cs="Calibri"/>
          <w:b w:val="false"/>
          <w:bCs w:val="false"/>
          <w:i w:val="false"/>
          <w:iCs w:val="false"/>
          <w:sz w:val="22"/>
          <w:szCs w:val="22"/>
        </w:rPr>
        <w:t>XGBoost [1] with scale_pos_weight set to the inverse class ratio serves as the non-graph baseline throughout this work, and as the sub-model backing the legacy, entity-ID-free serving payload shape (Section 8.2).</w:t>
      </w:r>
    </w:p>
    <w:p>
      <w:pPr>
        <w:pStyle w:val="Heading2"/>
        <w:spacing w:before="260" w:after="140"/>
        <w:rPr/>
      </w:pPr>
      <w:r>
        <w:rPr/>
        <w:t>5.7 Unsupervised Anomaly Detectors</w:t>
      </w:r>
    </w:p>
    <w:p>
      <w:pPr>
        <w:pStyle w:val="Normal"/>
        <w:spacing w:lineRule="exact" w:line="276" w:before="0" w:after="200"/>
        <w:jc w:val="both"/>
        <w:rPr/>
      </w:pPr>
      <w:r>
        <w:rPr>
          <w:rFonts w:eastAsia="Calibri" w:cs="Calibri"/>
          <w:b w:val="false"/>
          <w:bCs w:val="false"/>
          <w:i w:val="false"/>
          <w:iCs w:val="false"/>
          <w:sz w:val="22"/>
          <w:szCs w:val="22"/>
        </w:rPr>
        <w:t>A tabular autoencoder (reconstruction-error scoring, following Sakurada and Yairi [13]) and an Isolation Forest [12] are included as base models for the stacking ensemble. Both are fit per-context rather than assumed to transfer: in the supervised payments/AML pipeline the autoencoder is trained on non-fraud-labeled rows only (a standard labeled-anomaly-detection setup), while the unsupervised statement-analysis module (Section 8.1) fits both models fresh on each uploaded statement's own, unlabeled rows, under the standard unsupervised-anomaly assumption that the majority of any given statement's activity is legitimate.</w:t>
      </w:r>
    </w:p>
    <w:p>
      <w:pPr>
        <w:pStyle w:val="Heading2"/>
        <w:spacing w:before="260" w:after="140"/>
        <w:rPr/>
      </w:pPr>
      <w:r>
        <w:rPr/>
        <w:t>5.8 Calibrated Stacking Ensemble</w:t>
      </w:r>
    </w:p>
    <w:p>
      <w:pPr>
        <w:pStyle w:val="Normal"/>
        <w:spacing w:lineRule="exact" w:line="276" w:before="0" w:after="200"/>
        <w:jc w:val="both"/>
        <w:rPr/>
      </w:pPr>
      <w:r>
        <w:rPr>
          <w:rFonts w:eastAsia="Calibri" w:cs="Calibri"/>
          <w:b w:val="false"/>
          <w:bCs w:val="false"/>
          <w:i w:val="false"/>
          <w:iCs w:val="false"/>
          <w:sz w:val="22"/>
          <w:szCs w:val="22"/>
        </w:rPr>
        <w:t>Base-model scores (XGBoost, GraphSAGE, HGT, autoencoder, Isolation Forest) are combined via a logistic-regression meta-learner trained on out-of-fold predictions — a two-stage fold/final split rather than k-fold cross-validation, to accommodate the graph models' transductive training requirement — followed by isotonic regression calibration fit on a held-out validation split, so that the final score is interpretable as an operational probability rather than only a ranking signal.</w:t>
      </w:r>
    </w:p>
    <w:p>
      <w:pPr>
        <w:pStyle w:val="Heading1"/>
        <w:spacing w:before="360" w:after="180"/>
        <w:rPr/>
      </w:pPr>
      <w:r>
        <w:rPr/>
        <w:t>6. Experimental Setup</w:t>
      </w:r>
    </w:p>
    <w:p>
      <w:pPr>
        <w:pStyle w:val="Heading2"/>
        <w:spacing w:before="260" w:after="140"/>
        <w:rPr/>
      </w:pPr>
      <w:r>
        <w:rPr/>
        <w:t>6.1 Temporal Splitting</w:t>
      </w:r>
    </w:p>
    <w:p>
      <w:pPr>
        <w:pStyle w:val="Normal"/>
        <w:spacing w:lineRule="exact" w:line="276" w:before="0" w:after="200"/>
        <w:jc w:val="both"/>
        <w:rPr/>
      </w:pPr>
      <w:r>
        <w:rPr>
          <w:rFonts w:eastAsia="Calibri" w:cs="Calibri"/>
          <w:b w:val="false"/>
          <w:bCs w:val="false"/>
          <w:i w:val="false"/>
          <w:iCs w:val="false"/>
          <w:sz w:val="22"/>
          <w:szCs w:val="22"/>
        </w:rPr>
        <w:t>All splits are chronological (70% train / 10% validation / 20% test by transaction timestamp), not random. A random split would let future transactions leak into training through shared-entity graph edges — an account's later fraud-ring membership would otherwise be visible while a model trains on that same account's earlier, legitimate transactions.</w:t>
      </w:r>
    </w:p>
    <w:p>
      <w:pPr>
        <w:pStyle w:val="Heading2"/>
        <w:spacing w:before="260" w:after="140"/>
        <w:rPr/>
      </w:pPr>
      <w:r>
        <w:rPr/>
        <w:t>6.2 Evaluation Metrics</w:t>
      </w:r>
    </w:p>
    <w:p>
      <w:pPr>
        <w:pStyle w:val="Normal"/>
        <w:spacing w:lineRule="exact" w:line="276" w:before="0" w:after="200"/>
        <w:jc w:val="both"/>
        <w:rPr/>
      </w:pPr>
      <w:r>
        <w:rPr>
          <w:rFonts w:eastAsia="Calibri" w:cs="Calibri"/>
          <w:b w:val="false"/>
          <w:bCs w:val="false"/>
          <w:i w:val="false"/>
          <w:iCs w:val="false"/>
          <w:sz w:val="22"/>
          <w:szCs w:val="22"/>
        </w:rPr>
        <w:t>At approximately 3% fraud prevalence, accuracy is close to meaningless (predicting "not fraud" for every transaction scores roughly 97%) and ROC-AUC can appear strong while precision at any operationally useful threshold remains poor. Results are reported using area under the precision-recall curve (AUPRC), recall at a fixed 1% false-positive rate (an investigations team's alert-budget framing), and precision/recall at a fixed top-k alert count, alongside ROC-AUC and F1 for completeness.</w:t>
      </w:r>
    </w:p>
    <w:p>
      <w:pPr>
        <w:pStyle w:val="Heading2"/>
        <w:spacing w:before="260" w:after="140"/>
        <w:rPr/>
      </w:pPr>
      <w:r>
        <w:rPr/>
        <w:t>6.3 Training Protocol</w:t>
      </w:r>
    </w:p>
    <w:p>
      <w:pPr>
        <w:pStyle w:val="Normal"/>
        <w:spacing w:lineRule="exact" w:line="276" w:before="0" w:after="200"/>
        <w:jc w:val="both"/>
        <w:rPr/>
      </w:pPr>
      <w:r>
        <w:rPr>
          <w:rFonts w:eastAsia="Calibri" w:cs="Calibri"/>
          <w:b w:val="false"/>
          <w:bCs w:val="false"/>
          <w:i w:val="false"/>
          <w:iCs w:val="false"/>
          <w:sz w:val="22"/>
          <w:szCs w:val="22"/>
        </w:rPr>
        <w:t>Graph models are trained with class-weighted cross-entropy and Adam, with validation-set AUPRC tracked every epoch and the best checkpoint retained (patience of 20 epochs). This was not the original design: an initial HGT/R-GCN training run, evaluated only at a fixed epoch count, showed training loss collapsing to near zero within roughly 20 epochs while held-out AUPRC remained mediocre — a textbook overfitting signature traced to the learned per-entity embedding tables giving the model enough capacity to memorize specific training-set device and account identities rather than learning generalizable structure. Adding validation-based early-stopping and checkpoint selection, applied uniformly across all graph models, recovered substantially better held-out performance and is used for every graph-model result reported in Section 7.</w:t>
      </w:r>
    </w:p>
    <w:p>
      <w:pPr>
        <w:pStyle w:val="Heading1"/>
        <w:spacing w:before="360" w:after="180"/>
        <w:rPr/>
      </w:pPr>
      <w:r>
        <w:rPr/>
        <w:t>7. Results</w:t>
      </w:r>
    </w:p>
    <w:p>
      <w:pPr>
        <w:pStyle w:val="Heading2"/>
        <w:spacing w:before="260" w:after="140"/>
        <w:rPr/>
      </w:pPr>
      <w:r>
        <w:rPr/>
        <w:t>7.1 Payments Domain</w:t>
      </w:r>
    </w:p>
    <w:p>
      <w:pPr>
        <w:pStyle w:val="Normal"/>
        <w:spacing w:lineRule="exact" w:line="276" w:before="0" w:after="200"/>
        <w:jc w:val="both"/>
        <w:rPr/>
      </w:pPr>
      <w:r>
        <w:rPr>
          <w:rFonts w:eastAsia="Calibri" w:cs="Calibri"/>
          <w:b w:val="false"/>
          <w:bCs w:val="false"/>
          <w:i w:val="false"/>
          <w:iCs w:val="false"/>
          <w:sz w:val="22"/>
          <w:szCs w:val="22"/>
        </w:rPr>
        <w:t>Table 1 reports the full model comparison on the payments benchmark's held-out temporal test split.</w:t>
      </w:r>
    </w:p>
    <w:tbl>
      <w:tblPr>
        <w:tblW w:w="9700" w:type="dxa"/>
        <w:jc w:val="left"/>
        <w:tblInd w:w="0" w:type="dxa"/>
        <w:tblCellMar>
          <w:top w:w="80" w:type="dxa"/>
          <w:left w:w="100" w:type="dxa"/>
          <w:bottom w:w="80" w:type="dxa"/>
          <w:right w:w="100" w:type="dxa"/>
        </w:tblCellMar>
      </w:tblPr>
      <w:tblGrid>
        <w:gridCol w:w="2599"/>
        <w:gridCol w:w="1400"/>
        <w:gridCol w:w="1400"/>
        <w:gridCol w:w="1599"/>
        <w:gridCol w:w="1500"/>
        <w:gridCol w:w="1201"/>
      </w:tblGrid>
      <w:tr>
        <w:trPr>
          <w:tblHeader w:val="true"/>
        </w:trPr>
        <w:tc>
          <w:tcPr>
            <w:tcW w:w="2599"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Model</w:t>
            </w:r>
          </w:p>
        </w:tc>
        <w:tc>
          <w:tcPr>
            <w:tcW w:w="1400"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AUPRC</w:t>
            </w:r>
          </w:p>
        </w:tc>
        <w:tc>
          <w:tcPr>
            <w:tcW w:w="1400"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ROC-AUC</w:t>
            </w:r>
          </w:p>
        </w:tc>
        <w:tc>
          <w:tcPr>
            <w:tcW w:w="1599"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Recall@1%FPR</w:t>
            </w:r>
          </w:p>
        </w:tc>
        <w:tc>
          <w:tcPr>
            <w:tcW w:w="1500"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Precision@k</w:t>
            </w:r>
          </w:p>
        </w:tc>
        <w:tc>
          <w:tcPr>
            <w:tcW w:w="1201"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F1</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XGBoost (baseline)</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0.371</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0.659</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0.310</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0.550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0.448</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GAT</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0.678</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0.951</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0.563</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0.790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0.504</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R-GCN</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0.537</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0.919</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0.368</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0.630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0.464</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GraphSAGE</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0.733</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0.974</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0.575</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0.790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0.512</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Hypergraph Conv.</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0.670</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0.891</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0.626</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0.870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0.471</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HGT (best single model)</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0.797</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0.983</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0.701</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0.920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0.551</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Ensemble (uncalibrated)</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0.760</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0.974</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0.718</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0.820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0.531</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Ensemble (calibrated)</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0.721</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0.951</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0.718</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0.810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0.483</w:t>
            </w:r>
          </w:p>
        </w:tc>
      </w:tr>
    </w:tbl>
    <w:p>
      <w:pPr>
        <w:pStyle w:val="Normal"/>
        <w:spacing w:before="80" w:after="240"/>
        <w:jc w:val="center"/>
        <w:rPr/>
      </w:pPr>
      <w:r>
        <w:rPr>
          <w:rFonts w:eastAsia="Calibri" w:cs="Calibri"/>
          <w:i/>
          <w:iCs/>
          <w:sz w:val="20"/>
          <w:szCs w:val="20"/>
        </w:rPr>
        <w:t>Table 1. Payments-domain model comparison on the held-out temporal test split.</w:t>
      </w:r>
    </w:p>
    <w:p>
      <w:pPr>
        <w:pStyle w:val="Normal"/>
        <w:spacing w:lineRule="exact" w:line="276" w:before="0" w:after="200"/>
        <w:jc w:val="both"/>
        <w:rPr/>
      </w:pPr>
      <w:r>
        <w:rPr>
          <w:rFonts w:eastAsia="Calibri" w:cs="Calibri"/>
          <w:b w:val="false"/>
          <w:bCs w:val="false"/>
          <w:i w:val="false"/>
          <w:iCs w:val="false"/>
          <w:sz w:val="22"/>
          <w:szCs w:val="22"/>
        </w:rPr>
        <w:t>The Heterogeneous Graph Transformer is the best single model across every metric, achieving a 115% relative AUPRC improvement over XGBoost (0.797 vs. 0.371) and more than doubling recall at a 1% false-positive operating point (0.701 vs. 0.310). GraphSAGE and GAT, operating on a simpler homogeneous transaction-projection graph or a coarser attention mechanism respectively, still substantially outperform the tabular baseline, confirming that graph structure — not merely model complexity — is the source of the improvement. R-GCN, despite also being heterogeneous, underperforms HGT and even GraphSAGE, supporting the architectural choice in Section 5.3: uniform per-relation weighting is a worse fit than type-aware attention for this graph's uneven relation-type distribution.</w:t>
      </w:r>
    </w:p>
    <w:p>
      <w:pPr>
        <w:pStyle w:val="Heading2"/>
        <w:spacing w:before="260" w:after="140"/>
        <w:rPr/>
      </w:pPr>
      <w:r>
        <w:rPr/>
        <w:t>7.2 GAN Augmentation Ablation</w:t>
      </w:r>
    </w:p>
    <w:p>
      <w:pPr>
        <w:pStyle w:val="Normal"/>
        <w:spacing w:lineRule="exact" w:line="276" w:before="0" w:after="200"/>
        <w:jc w:val="both"/>
        <w:rPr/>
      </w:pPr>
      <w:r>
        <w:rPr>
          <w:rFonts w:eastAsia="Calibri" w:cs="Calibri"/>
          <w:b w:val="false"/>
          <w:bCs w:val="false"/>
          <w:i w:val="false"/>
          <w:iCs w:val="false"/>
          <w:sz w:val="22"/>
          <w:szCs w:val="22"/>
        </w:rPr>
        <w:t>Augmenting the XGBoost training set with synthetic fraud rows generated by the conditional WGAN-GP produced no meaningful improvement: AUPRC 0.371 without augmentation versus 0.369 with it, a difference within run-to-run noise. This null result is reported rather than omitted because it is informative, not merely negative: the fraud this benchmark is hardest to detect is, by the design in Section 4.2, feature-camouflaged and only recoverable through graph structure. A generator that synthesizes feature vectors has no mechanism to teach a tabular model about shared-device or shared-IP network structure, so augmentation cannot help precisely where the tabular model's blind spot actually is. GAN augmentation would be expected to help in a setting where fraud is feature-separable but underrepresented — a different bottleneck than the one this benchmark tests.</w:t>
      </w:r>
    </w:p>
    <w:p>
      <w:pPr>
        <w:pStyle w:val="Heading2"/>
        <w:spacing w:before="260" w:after="140"/>
        <w:rPr/>
      </w:pPr>
      <w:r>
        <w:rPr/>
        <w:t>7.3 Calibration Trade-off</w:t>
      </w:r>
    </w:p>
    <w:p>
      <w:pPr>
        <w:pStyle w:val="Normal"/>
        <w:spacing w:lineRule="exact" w:line="276" w:before="0" w:after="200"/>
        <w:jc w:val="both"/>
        <w:rPr/>
      </w:pPr>
      <w:r>
        <w:rPr>
          <w:rFonts w:eastAsia="Calibri" w:cs="Calibri"/>
          <w:b w:val="false"/>
          <w:bCs w:val="false"/>
          <w:i w:val="false"/>
          <w:iCs w:val="false"/>
          <w:sz w:val="22"/>
          <w:szCs w:val="22"/>
        </w:rPr>
        <w:t>Isotonic calibration reduced the ensemble's AUPRC slightly (0.760 uncalibrated to 0.721 calibrated) while leaving recall at the fixed 1% false-positive operating point unchanged (0.718 in both cases). This is an expected and defensible trade-off, not a defect: isotonic calibration optimizes probability reliability — that a reported score of 0.8 corresponds to roughly an 80% empirical fraud likelihood — not ranking quality, and it was fit on a comparatively modest validation split (~2,000 rows), which introduces some tied output values that cost a small amount of rank-based metric performance. The metric that matters most for an actual deployed alert threshold, recall at the chosen operating point, was unaffected.</w:t>
      </w:r>
    </w:p>
    <w:p>
      <w:pPr>
        <w:pStyle w:val="Heading2"/>
        <w:spacing w:before="260" w:after="140"/>
        <w:rPr/>
      </w:pPr>
      <w:r>
        <w:rPr/>
        <w:t>7.4 AML Domain: Platform Generalization Result</w:t>
      </w:r>
    </w:p>
    <w:p>
      <w:pPr>
        <w:pStyle w:val="Normal"/>
        <w:spacing w:lineRule="exact" w:line="276" w:before="0" w:after="200"/>
        <w:jc w:val="both"/>
        <w:rPr/>
      </w:pPr>
      <w:r>
        <w:rPr>
          <w:rFonts w:eastAsia="Calibri" w:cs="Calibri"/>
          <w:b w:val="false"/>
          <w:bCs w:val="false"/>
          <w:i w:val="false"/>
          <w:iCs w:val="false"/>
          <w:sz w:val="22"/>
          <w:szCs w:val="22"/>
        </w:rPr>
        <w:t>Table 2 reports the identical model classes — no code changes — evaluated on the independently constructed AML benchmark (Section 4.4).</w:t>
      </w:r>
    </w:p>
    <w:tbl>
      <w:tblPr>
        <w:tblW w:w="9700" w:type="dxa"/>
        <w:jc w:val="left"/>
        <w:tblInd w:w="0" w:type="dxa"/>
        <w:tblCellMar>
          <w:top w:w="80" w:type="dxa"/>
          <w:left w:w="100" w:type="dxa"/>
          <w:bottom w:w="80" w:type="dxa"/>
          <w:right w:w="100" w:type="dxa"/>
        </w:tblCellMar>
      </w:tblPr>
      <w:tblGrid>
        <w:gridCol w:w="2599"/>
        <w:gridCol w:w="1400"/>
        <w:gridCol w:w="1400"/>
        <w:gridCol w:w="1599"/>
        <w:gridCol w:w="1500"/>
        <w:gridCol w:w="1201"/>
      </w:tblGrid>
      <w:tr>
        <w:trPr>
          <w:tblHeader w:val="true"/>
        </w:trPr>
        <w:tc>
          <w:tcPr>
            <w:tcW w:w="2599"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Model</w:t>
            </w:r>
          </w:p>
        </w:tc>
        <w:tc>
          <w:tcPr>
            <w:tcW w:w="1400"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AUPRC</w:t>
            </w:r>
          </w:p>
        </w:tc>
        <w:tc>
          <w:tcPr>
            <w:tcW w:w="1400"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ROC-AUC</w:t>
            </w:r>
          </w:p>
        </w:tc>
        <w:tc>
          <w:tcPr>
            <w:tcW w:w="1599"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Recall@1%FPR</w:t>
            </w:r>
          </w:p>
        </w:tc>
        <w:tc>
          <w:tcPr>
            <w:tcW w:w="1500"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Precision@k</w:t>
            </w:r>
          </w:p>
        </w:tc>
        <w:tc>
          <w:tcPr>
            <w:tcW w:w="1201" w:type="dxa"/>
            <w:tcBorders>
              <w:top w:val="single" w:sz="4" w:space="0" w:color="000000"/>
              <w:left w:val="single" w:sz="4" w:space="0" w:color="000000"/>
              <w:bottom w:val="single" w:sz="4" w:space="0" w:color="000000"/>
              <w:right w:val="single" w:sz="4" w:space="0" w:color="000000"/>
            </w:tcBorders>
            <w:shd w:fill="1F4E78" w:val="clear"/>
          </w:tcPr>
          <w:p>
            <w:pPr>
              <w:pStyle w:val="Normal"/>
              <w:jc w:val="center"/>
              <w:rPr/>
            </w:pPr>
            <w:r>
              <w:rPr>
                <w:rFonts w:eastAsia="Calibri" w:cs="Calibri"/>
                <w:b/>
                <w:bCs/>
                <w:color w:val="FFFFFF"/>
                <w:sz w:val="20"/>
                <w:szCs w:val="20"/>
              </w:rPr>
              <w:t>F1</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XGBoost (baseline)</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0.131</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0.570</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0.103</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0.100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0.115</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GraphSAGE</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0.247</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0.895</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0.184</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0.210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0.155</w:t>
            </w:r>
          </w:p>
        </w:tc>
      </w:tr>
      <w:tr>
        <w:trPr/>
        <w:tc>
          <w:tcPr>
            <w:tcW w:w="2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HGT (best single model)</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0.614</w:t>
            </w:r>
          </w:p>
        </w:tc>
        <w:tc>
          <w:tcPr>
            <w:tcW w:w="14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0.970</w:t>
            </w:r>
          </w:p>
        </w:tc>
        <w:tc>
          <w:tcPr>
            <w:tcW w:w="1599"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0.667</w:t>
            </w:r>
          </w:p>
        </w:tc>
        <w:tc>
          <w:tcPr>
            <w:tcW w:w="1500"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0.590</w:t>
            </w:r>
          </w:p>
        </w:tc>
        <w:tc>
          <w:tcPr>
            <w:tcW w:w="1201" w:type="dxa"/>
            <w:tcBorders>
              <w:top w:val="single" w:sz="4" w:space="0" w:color="000000"/>
              <w:left w:val="single" w:sz="4" w:space="0" w:color="000000"/>
              <w:bottom w:val="single" w:sz="4" w:space="0" w:color="000000"/>
              <w:right w:val="single" w:sz="4" w:space="0" w:color="000000"/>
            </w:tcBorders>
            <w:shd w:fill="auto" w:val="clear"/>
          </w:tcPr>
          <w:p>
            <w:pPr>
              <w:pStyle w:val="Normal"/>
              <w:jc w:val="center"/>
              <w:rPr/>
            </w:pPr>
            <w:r>
              <w:rPr>
                <w:rFonts w:eastAsia="Calibri" w:cs="Calibri"/>
                <w:b w:val="false"/>
                <w:bCs w:val="false"/>
                <w:sz w:val="20"/>
                <w:szCs w:val="20"/>
              </w:rPr>
              <w:t>0.562</w:t>
            </w:r>
          </w:p>
        </w:tc>
      </w:tr>
    </w:tbl>
    <w:p>
      <w:pPr>
        <w:pStyle w:val="Normal"/>
        <w:spacing w:before="80" w:after="240"/>
        <w:jc w:val="center"/>
        <w:rPr/>
      </w:pPr>
      <w:r>
        <w:rPr>
          <w:rFonts w:eastAsia="Calibri" w:cs="Calibri"/>
          <w:i/>
          <w:iCs/>
          <w:sz w:val="20"/>
          <w:szCs w:val="20"/>
        </w:rPr>
        <w:t>Table 2. AML-domain model comparison, using unmodified GraphSAGEFraudModel/HGTFraudModel/XGBoostFraudModel classes.</w:t>
      </w:r>
    </w:p>
    <w:p>
      <w:pPr>
        <w:pStyle w:val="Normal"/>
        <w:spacing w:lineRule="exact" w:line="276" w:before="0" w:after="200"/>
        <w:jc w:val="both"/>
        <w:rPr/>
      </w:pPr>
      <w:r>
        <w:rPr>
          <w:rFonts w:eastAsia="Calibri" w:cs="Calibri"/>
          <w:b w:val="false"/>
          <w:bCs w:val="false"/>
          <w:i w:val="false"/>
          <w:iCs w:val="false"/>
          <w:sz w:val="22"/>
          <w:szCs w:val="22"/>
        </w:rPr>
        <w:t>HGT achieves a 369% relative AUPRC improvement over XGBoost in the AML domain (0.614 vs. 0.131) — a larger relative gap than the payments domain's 115%. This is consistent with the AML typologies being, by design, purely structural (multi-hop layering chains and beneficiary fan-in that a single transaction's own features cannot reveal at all), whereas payments' simpler device/IP-sharing rings retain slightly more residual feature signal in the deliberately undisciplined 15% of ring transactions. The absolute AUPRC values are lower across all three models than in the payments domain, reflecting that layering-chain and smurfing detection is a harder structural inference problem than device/IP-cluster detection — a multi-hop chain requires the model to propagate signal across several message-passing steps, whereas a shared-device ring is visible within one or two hops.</w:t>
      </w:r>
    </w:p>
    <w:p>
      <w:pPr>
        <w:pStyle w:val="Heading2"/>
        <w:spacing w:before="260" w:after="140"/>
        <w:rPr/>
      </w:pPr>
      <w:r>
        <w:rPr/>
        <w:t>7.5 Cross-Domain Discussion</w:t>
      </w:r>
    </w:p>
    <w:p>
      <w:pPr>
        <w:pStyle w:val="Normal"/>
        <w:spacing w:lineRule="exact" w:line="276" w:before="0" w:after="200"/>
        <w:jc w:val="both"/>
        <w:rPr/>
      </w:pPr>
      <w:r>
        <w:rPr>
          <w:rFonts w:eastAsia="Calibri" w:cs="Calibri"/>
          <w:b w:val="false"/>
          <w:bCs w:val="false"/>
          <w:i w:val="false"/>
          <w:iCs w:val="false"/>
          <w:sz w:val="22"/>
          <w:szCs w:val="22"/>
        </w:rPr>
        <w:t>Two results together constitute the paper's central empirical claim: first, that graph-aware models meaningfully outperform a strong tabular baseline specifically when fraud is engineered to be feature-camouflaged (Sections 7.1, 7.4); second, that this advantage reproduces in a second, independently constructed domain using unmodified model code, differing only in the DomainGraphSchema configuration (Section 3.4) and the synthetic data generator. The equivalence test described in Section 3.4 establishes that the generalized graph-construction path is behaviorally identical to the original hardcoded implementation on payments data; Table 2 establishes that the same generalized path, applied to a schema it was never specifically designed around, produces a coherent and interpretable result on a structurally different domain. Together, these support the paper's platform claim: the architecture generalizes by configuration, not by domain-specific re-engineering.</w:t>
      </w:r>
    </w:p>
    <w:p>
      <w:pPr>
        <w:pStyle w:val="Heading1"/>
        <w:spacing w:before="360" w:after="180"/>
        <w:rPr/>
      </w:pPr>
      <w:r>
        <w:rPr/>
        <w:t>8. Deployment Considerations</w:t>
      </w:r>
    </w:p>
    <w:p>
      <w:pPr>
        <w:pStyle w:val="Heading2"/>
        <w:spacing w:before="260" w:after="140"/>
        <w:rPr/>
      </w:pPr>
      <w:r>
        <w:rPr/>
        <w:t>8.1 Unsupervised Analysis of Real, Unlabeled Financial Documents</w:t>
      </w:r>
    </w:p>
    <w:p>
      <w:pPr>
        <w:pStyle w:val="Normal"/>
        <w:spacing w:lineRule="exact" w:line="276" w:before="0" w:after="200"/>
        <w:jc w:val="both"/>
        <w:rPr/>
      </w:pPr>
      <w:r>
        <w:rPr>
          <w:rFonts w:eastAsia="Calibri" w:cs="Calibri"/>
          <w:b w:val="false"/>
          <w:bCs w:val="false"/>
          <w:i w:val="false"/>
          <w:iCs w:val="false"/>
          <w:sz w:val="22"/>
          <w:szCs w:val="22"/>
        </w:rPr>
        <w:t>A natural extension of this system is scoring a user's own uploaded bank statement (CSV or PDF). Routing such data through the trained supervised ensemble described in Sections 5 and 7 would be dishonest: that ensemble was trained and validated exclusively on synthetic data with a known entity graph, and a probability it emits on unlabeled, real, ungraphed statement data would not mean what it claims to mean. Instead, a separate, unsupervised pipeline is used: rule-based pattern detectors — Benford's-Law leading-digit deviation [11], structuring/threshold-avoidance detection, duplicate-transaction detection, velocity-spike detection, and recipient-concentration analysis — combined with an Isolation Forest and an autoencoder fit fresh on each statement's own derived features (amount, day-of-week, rolling transaction velocity, deviation from a given counterparty's own historical average), under the standard unsupervised-anomaly assumption that the majority of any individual's transaction history is legitimate. This module makes no fraud-probability claim; it surfaces statistically unusual patterns for human review, which is the honest and defensible scope for a model with no ground-truth labels on the data it is scoring.</w:t>
      </w:r>
    </w:p>
    <w:p>
      <w:pPr>
        <w:pStyle w:val="Heading2"/>
        <w:spacing w:before="260" w:after="140"/>
        <w:rPr/>
      </w:pPr>
      <w:r>
        <w:rPr/>
        <w:t>8.2 The Transductive Graph-Snapshot Problem</w:t>
      </w:r>
    </w:p>
    <w:p>
      <w:pPr>
        <w:pStyle w:val="Normal"/>
        <w:spacing w:lineRule="exact" w:line="276" w:before="0" w:after="200"/>
        <w:jc w:val="both"/>
        <w:rPr/>
      </w:pPr>
      <w:r>
        <w:rPr>
          <w:rFonts w:eastAsia="Calibri" w:cs="Calibri"/>
          <w:b w:val="false"/>
          <w:bCs w:val="false"/>
          <w:i w:val="false"/>
          <w:iCs w:val="false"/>
          <w:sz w:val="22"/>
          <w:szCs w:val="22"/>
        </w:rPr>
        <w:t>GraphSAGE and, more strongly, HGT are transductive over the specific graph they were built from: a node not present in that graph — including a transaction that occurred after the snapshot was built — cannot be scored by looking it up, only by being inserted into an updated graph and re-run through the model. This is a real, frequently underemphasized constraint on graph-based fraud systems' latency characteristics. The architecture described here addresses it with a two-tier serving design: a fast, non-graph gate (the XGBoost baseline, evaluable in microseconds on a single feature vector) makes the synchronous accept/hold decision at transaction time, while the graph-aware ensemble re-scores transactions asynchronously against the most recent periodically rebuilt graph snapshot, escalating disagreements for review. This is a standard pattern in production graph-based fraud systems, not a novel proposal of this paper, but one rarely made explicit in academic evaluations that report only offline transductive metrics.</w:t>
      </w:r>
    </w:p>
    <w:p>
      <w:pPr>
        <w:pStyle w:val="Heading2"/>
        <w:spacing w:before="260" w:after="140"/>
        <w:rPr/>
      </w:pPr>
      <w:r>
        <w:rPr/>
        <w:t>8.3 Portability Validation</w:t>
      </w:r>
    </w:p>
    <w:p>
      <w:pPr>
        <w:pStyle w:val="Normal"/>
        <w:spacing w:lineRule="exact" w:line="276" w:before="0" w:after="200"/>
        <w:jc w:val="both"/>
        <w:rPr/>
      </w:pPr>
      <w:r>
        <w:rPr>
          <w:rFonts w:eastAsia="Calibri" w:cs="Calibri"/>
          <w:b w:val="false"/>
          <w:bCs w:val="false"/>
          <w:i w:val="false"/>
          <w:iCs w:val="false"/>
          <w:sz w:val="22"/>
          <w:szCs w:val="22"/>
        </w:rPr>
        <w:t>To test the schema/adapter abstraction (Section 3.2) against a real-world dataset's column structure rather than only synthetic data of the authors' own design, an adapter was built for the IEEE-CIS Fraud Detection dataset (a widely used Kaggle competition benchmark), mapping its card1, DeviceInfo, addr1, and P_emaildomain fields onto sender, device, recipient, and merchant entity-proxy roles respectively. Because the competition data requires the user's own Kaggle credentials to obtain, this validation is necessarily structural rather than an end-to-end trained result: automated tests confirm the adapter correctly parses IEEE-CIS-shaped data (verified against synthetic fixtures matching its real column names and semantics) and that the identical graph-construction and model-training code accepts its output with zero code changes. A full trained evaluation on the actual competition data, which would additionally validate the synthetic benchmark's realism against genuine transaction data, is identified as future work in Section 10.</w:t>
      </w:r>
    </w:p>
    <w:p>
      <w:pPr>
        <w:pStyle w:val="Heading1"/>
        <w:spacing w:before="360" w:after="180"/>
        <w:rPr/>
      </w:pPr>
      <w:r>
        <w:rPr/>
        <w:t>9. Limitations</w:t>
      </w:r>
    </w:p>
    <w:p>
      <w:pPr>
        <w:pStyle w:val="ListParagraph"/>
        <w:numPr>
          <w:ilvl w:val="0"/>
          <w:numId w:val="1"/>
        </w:numPr>
        <w:spacing w:before="0" w:after="100"/>
        <w:rPr/>
      </w:pPr>
      <w:r>
        <w:rPr>
          <w:rFonts w:eastAsia="Calibri" w:cs="Calibri"/>
          <w:sz w:val="22"/>
          <w:szCs w:val="22"/>
        </w:rPr>
        <w:t>All quantitative results in this paper are measured on synthetic data with a known, author-constructed fraud topology. This is a deliberate methodological choice enabling the central comparison (Section 4.1-4.2) but means the reported AUPRC values are not evidence of real-world detection performance; validation against production transaction data with genuine investigative fraud labels is a necessary next step before any deployment claim.</w:t>
      </w:r>
    </w:p>
    <w:p>
      <w:pPr>
        <w:pStyle w:val="ListParagraph"/>
        <w:numPr>
          <w:ilvl w:val="0"/>
          <w:numId w:val="1"/>
        </w:numPr>
        <w:spacing w:before="0" w:after="100"/>
        <w:rPr/>
      </w:pPr>
      <w:r>
        <w:rPr>
          <w:rFonts w:eastAsia="Calibri" w:cs="Calibri"/>
          <w:sz w:val="22"/>
          <w:szCs w:val="22"/>
        </w:rPr>
        <w:t>The feature-camouflage discipline reflects a specific, deliberately adversarial threat model — coordinated fraud that is feature-invisible by design. Real fraud distributions plausibly contain both this pattern and more feature-separable fraud simultaneously; this paper's benchmark is constructed to stress-test the graph-versus-tabular question specifically, not to represent the full spectrum of real fraud.</w:t>
      </w:r>
    </w:p>
    <w:p>
      <w:pPr>
        <w:pStyle w:val="ListParagraph"/>
        <w:numPr>
          <w:ilvl w:val="0"/>
          <w:numId w:val="1"/>
        </w:numPr>
        <w:spacing w:before="0" w:after="100"/>
        <w:rPr/>
      </w:pPr>
      <w:r>
        <w:rPr>
          <w:rFonts w:eastAsia="Calibri" w:cs="Calibri"/>
          <w:sz w:val="22"/>
          <w:szCs w:val="22"/>
        </w:rPr>
        <w:t>The GAN augmentation null result (Section 7.2) is specific to this benchmark's design and should not be generalized to settings where fraud is feature-separable but underrepresented, which is the setting GAN-based tabular augmentation is more plausibly suited to.</w:t>
      </w:r>
    </w:p>
    <w:p>
      <w:pPr>
        <w:pStyle w:val="ListParagraph"/>
        <w:numPr>
          <w:ilvl w:val="0"/>
          <w:numId w:val="1"/>
        </w:numPr>
        <w:spacing w:before="0" w:after="100"/>
        <w:rPr/>
      </w:pPr>
      <w:r>
        <w:rPr>
          <w:rFonts w:eastAsia="Calibri" w:cs="Calibri"/>
          <w:sz w:val="22"/>
          <w:szCs w:val="22"/>
        </w:rPr>
        <w:t>The AML domain's two structural typologies (layering chains, smurfing) were defined by the authors from general knowledge of anti-money-laundering typologies, not sourced from real investigative case data or validated by a domain expert in financial-crime compliance.</w:t>
      </w:r>
    </w:p>
    <w:p>
      <w:pPr>
        <w:pStyle w:val="ListParagraph"/>
        <w:numPr>
          <w:ilvl w:val="0"/>
          <w:numId w:val="1"/>
        </w:numPr>
        <w:spacing w:before="0" w:after="100"/>
        <w:rPr/>
      </w:pPr>
      <w:r>
        <w:rPr>
          <w:rFonts w:eastAsia="Calibri" w:cs="Calibri"/>
          <w:sz w:val="22"/>
          <w:szCs w:val="22"/>
        </w:rPr>
        <w:t>The ensemble's isotonic calibrator was fit on a comparatively small validation split (~2,000 rows); a production deployment would want substantially more calibration data, and recalibration on a cadence matched to the underlying fraud distribution's drift.</w:t>
      </w:r>
    </w:p>
    <w:p>
      <w:pPr>
        <w:pStyle w:val="ListParagraph"/>
        <w:numPr>
          <w:ilvl w:val="0"/>
          <w:numId w:val="1"/>
        </w:numPr>
        <w:spacing w:before="0" w:after="100"/>
        <w:rPr/>
      </w:pPr>
      <w:r>
        <w:rPr>
          <w:rFonts w:eastAsia="Calibri" w:cs="Calibri"/>
          <w:sz w:val="22"/>
          <w:szCs w:val="22"/>
        </w:rPr>
        <w:t>The synthetic entity graph models a single institution's visibility into its own transaction data. Real interbank AML monitoring operates under significant cross-institution visibility gaps this graph does not model.</w:t>
      </w:r>
    </w:p>
    <w:p>
      <w:pPr>
        <w:pStyle w:val="Heading1"/>
        <w:spacing w:before="360" w:after="180"/>
        <w:rPr/>
      </w:pPr>
      <w:r>
        <w:rPr/>
        <w:t>10. Conclusion and Future Work</w:t>
      </w:r>
    </w:p>
    <w:p>
      <w:pPr>
        <w:pStyle w:val="Normal"/>
        <w:spacing w:lineRule="exact" w:line="276" w:before="0" w:after="200"/>
        <w:jc w:val="both"/>
        <w:rPr/>
      </w:pPr>
      <w:r>
        <w:rPr>
          <w:rFonts w:eastAsia="Calibri" w:cs="Calibri"/>
          <w:b w:val="false"/>
          <w:bCs w:val="false"/>
          <w:i w:val="false"/>
          <w:iCs w:val="false"/>
          <w:sz w:val="22"/>
          <w:szCs w:val="22"/>
        </w:rPr>
        <w:t>This paper presented a graph-native, multi-domain fraud detection architecture and evaluated it against a strong tabular baseline under a benchmark methodology — feature-camouflaged, graph-structural fraud — deliberately designed so that the comparison is meaningful rather than trivial. The Heterogeneous Graph Transformer was the strongest single model in both a payments-fraud domain (0.797 AUPRC, a 115% relative improvement over XGBoost) and an independently constructed anti-money-laundering domain (0.614 AUPRC, a 369% relative improvement), using unmodified model code across both, differing only in a declarative domain-schema configuration. A calibrated stacking ensemble, an honest negative result on GAN-based augmentation, and a discussion of transductive-graph and calibration trade-offs round out a system-level account of what graph-based fraud detection requires beyond the model architecture itself.</w:t>
      </w:r>
    </w:p>
    <w:p>
      <w:pPr>
        <w:pStyle w:val="Normal"/>
        <w:spacing w:lineRule="exact" w:line="276" w:before="0" w:after="200"/>
        <w:jc w:val="both"/>
        <w:rPr/>
      </w:pPr>
      <w:r>
        <w:rPr>
          <w:rFonts w:eastAsia="Calibri" w:cs="Calibri"/>
          <w:b w:val="false"/>
          <w:bCs w:val="false"/>
          <w:i w:val="false"/>
          <w:iCs w:val="false"/>
          <w:sz w:val="22"/>
          <w:szCs w:val="22"/>
        </w:rPr>
        <w:t>Future work includes:</w:t>
      </w:r>
    </w:p>
    <w:p>
      <w:pPr>
        <w:pStyle w:val="ListParagraph"/>
        <w:numPr>
          <w:ilvl w:val="0"/>
          <w:numId w:val="1"/>
        </w:numPr>
        <w:spacing w:before="0" w:after="100"/>
        <w:rPr/>
      </w:pPr>
      <w:r>
        <w:rPr>
          <w:rFonts w:eastAsia="Calibri" w:cs="Calibri"/>
          <w:sz w:val="22"/>
          <w:szCs w:val="22"/>
        </w:rPr>
        <w:t>End-to-end training and evaluation against the real IEEE-CIS Fraud Detection dataset, validating the synthetic benchmark's realism directly against genuine transaction data.</w:t>
      </w:r>
    </w:p>
    <w:p>
      <w:pPr>
        <w:pStyle w:val="ListParagraph"/>
        <w:numPr>
          <w:ilvl w:val="0"/>
          <w:numId w:val="1"/>
        </w:numPr>
        <w:spacing w:before="0" w:after="100"/>
        <w:rPr/>
      </w:pPr>
      <w:r>
        <w:rPr>
          <w:rFonts w:eastAsia="Calibri" w:cs="Calibri"/>
          <w:sz w:val="22"/>
          <w:szCs w:val="22"/>
        </w:rPr>
        <w:t>Extending the domain-generalized schema (Section 3.4) to insurance-claims fraud and e-commerce/marketplace collusion, both structurally further from the payments/AML entity shape than AML was, as a stronger test of the platform's generality.</w:t>
      </w:r>
    </w:p>
    <w:p>
      <w:pPr>
        <w:pStyle w:val="ListParagraph"/>
        <w:numPr>
          <w:ilvl w:val="0"/>
          <w:numId w:val="1"/>
        </w:numPr>
        <w:spacing w:before="0" w:after="100"/>
        <w:rPr/>
      </w:pPr>
      <w:r>
        <w:rPr>
          <w:rFonts w:eastAsia="Calibri" w:cs="Calibri"/>
          <w:sz w:val="22"/>
          <w:szCs w:val="22"/>
        </w:rPr>
        <w:t>Surfacing HGT's/GAT's learned attention weights as investigator-facing explanations ("flagged primarily due to a shared-device edge into a known ring"), rather than only a probability score.</w:t>
      </w:r>
    </w:p>
    <w:p>
      <w:pPr>
        <w:pStyle w:val="ListParagraph"/>
        <w:numPr>
          <w:ilvl w:val="0"/>
          <w:numId w:val="1"/>
        </w:numPr>
        <w:spacing w:before="0" w:after="100"/>
        <w:rPr/>
      </w:pPr>
      <w:r>
        <w:rPr>
          <w:rFonts w:eastAsia="Calibri" w:cs="Calibri"/>
          <w:sz w:val="22"/>
          <w:szCs w:val="22"/>
        </w:rPr>
        <w:t>Incremental or streaming graph-update methods to reduce the latency gap between a periodic graph-snapshot refresh and true real-time graph-aware scoring, addressing the limitation discussed in Section 8.2.</w:t>
      </w:r>
    </w:p>
    <w:p>
      <w:pPr>
        <w:pStyle w:val="ListParagraph"/>
        <w:numPr>
          <w:ilvl w:val="0"/>
          <w:numId w:val="1"/>
        </w:numPr>
        <w:spacing w:before="0" w:after="100"/>
        <w:rPr/>
      </w:pPr>
      <w:r>
        <w:rPr>
          <w:rFonts w:eastAsia="Calibri" w:cs="Calibri"/>
          <w:sz w:val="22"/>
          <w:szCs w:val="22"/>
        </w:rPr>
        <w:t>A human-in-the-loop review and feedback pipeline, closing the loop from analyst-confirmed or -dismissed alerts back into model retraining.</w:t>
      </w:r>
    </w:p>
    <w:p>
      <w:pPr>
        <w:pStyle w:val="Heading1"/>
        <w:spacing w:before="360" w:after="180"/>
        <w:rPr/>
      </w:pPr>
      <w:r>
        <w:rPr/>
        <w:t>Acknowledgments</w:t>
      </w:r>
    </w:p>
    <w:p>
      <w:pPr>
        <w:pStyle w:val="Normal"/>
        <w:spacing w:lineRule="exact" w:line="276" w:before="0" w:after="200"/>
        <w:jc w:val="both"/>
        <w:rPr/>
      </w:pPr>
      <w:r>
        <w:rPr>
          <w:rFonts w:eastAsia="Calibri" w:cs="Calibri"/>
          <w:b w:val="false"/>
          <w:bCs w:val="false"/>
          <w:i w:val="false"/>
          <w:iCs w:val="false"/>
          <w:sz w:val="22"/>
          <w:szCs w:val="22"/>
        </w:rPr>
        <w:t>[Acknowledgments placeholder — funding sources, institutional support, or individual contributors to be added by the author.]</w:t>
      </w:r>
    </w:p>
    <w:p>
      <w:pPr>
        <w:pStyle w:val="Heading1"/>
        <w:spacing w:before="360" w:after="180"/>
        <w:rPr/>
      </w:pPr>
      <w:r>
        <w:rPr/>
        <w:t>References</w:t>
      </w:r>
    </w:p>
    <w:p>
      <w:pPr>
        <w:pStyle w:val="Normal"/>
        <w:spacing w:before="0" w:after="140"/>
        <w:ind w:left="360" w:hanging="360"/>
        <w:rPr/>
      </w:pPr>
      <w:r>
        <w:rPr>
          <w:rFonts w:eastAsia="Calibri" w:cs="Calibri"/>
          <w:sz w:val="21"/>
          <w:szCs w:val="21"/>
        </w:rPr>
        <w:t>[1] T. Chen and C. Guestrin, "XGBoost: A Scalable Tree Boosting System," in Proc. 22nd ACM SIGKDD Int. Conf. Knowledge Discovery and Data Mining, San Francisco, CA, USA, 2016, pp. 785–794.</w:t>
      </w:r>
    </w:p>
    <w:p>
      <w:pPr>
        <w:pStyle w:val="Normal"/>
        <w:spacing w:before="0" w:after="140"/>
        <w:ind w:left="360" w:hanging="360"/>
        <w:rPr/>
      </w:pPr>
      <w:r>
        <w:rPr>
          <w:rFonts w:eastAsia="Calibri" w:cs="Calibri"/>
          <w:sz w:val="21"/>
          <w:szCs w:val="21"/>
        </w:rPr>
        <w:t>[2] I. J. Goodfellow, J. Pouget-Abadie, M. Mirza, B. Xu, D. Warde-Farley, S. Ozair, A. Courville, and Y. Bengio, "Generative Adversarial Nets," in Advances in Neural Information Processing Systems 27 (NeurIPS 2014), 2014, pp. 2672–2680.</w:t>
      </w:r>
    </w:p>
    <w:p>
      <w:pPr>
        <w:pStyle w:val="Normal"/>
        <w:spacing w:before="0" w:after="140"/>
        <w:ind w:left="360" w:hanging="360"/>
        <w:rPr/>
      </w:pPr>
      <w:r>
        <w:rPr>
          <w:rFonts w:eastAsia="Calibri" w:cs="Calibri"/>
          <w:sz w:val="21"/>
          <w:szCs w:val="21"/>
        </w:rPr>
        <w:t>[3] I. Gulrajani, F. Ahmed, M. Arjovsky, V. Dumoulin, and A. C. Courville, "Improved Training of Wasserstein GANs," in Advances in Neural Information Processing Systems 30 (NeurIPS 2017), 2017, pp. 5767–5777.</w:t>
      </w:r>
    </w:p>
    <w:p>
      <w:pPr>
        <w:pStyle w:val="Normal"/>
        <w:spacing w:before="0" w:after="140"/>
        <w:ind w:left="360" w:hanging="360"/>
        <w:rPr/>
      </w:pPr>
      <w:r>
        <w:rPr>
          <w:rFonts w:eastAsia="Calibri" w:cs="Calibri"/>
          <w:sz w:val="21"/>
          <w:szCs w:val="21"/>
        </w:rPr>
        <w:t>[4] T. N. Kipf and M. Welling, "Semi-Supervised Classification with Graph Convolutional Networks," in Proc. 5th Int. Conf. Learning Representations (ICLR 2017), Toulon, France, 2017.</w:t>
      </w:r>
    </w:p>
    <w:p>
      <w:pPr>
        <w:pStyle w:val="Normal"/>
        <w:spacing w:before="0" w:after="140"/>
        <w:ind w:left="360" w:hanging="360"/>
        <w:rPr/>
      </w:pPr>
      <w:r>
        <w:rPr>
          <w:rFonts w:eastAsia="Calibri" w:cs="Calibri"/>
          <w:sz w:val="21"/>
          <w:szCs w:val="21"/>
        </w:rPr>
        <w:t>[5] W. L. Hamilton, Z. Ying, and J. Leskovec, "Inductive Representation Learning on Large Graphs," in Advances in Neural Information Processing Systems 30 (NeurIPS 2017), Long Beach, CA, USA, 2017, pp. 1024–1034.</w:t>
      </w:r>
    </w:p>
    <w:p>
      <w:pPr>
        <w:pStyle w:val="Normal"/>
        <w:spacing w:before="0" w:after="140"/>
        <w:ind w:left="360" w:hanging="360"/>
        <w:rPr/>
      </w:pPr>
      <w:r>
        <w:rPr>
          <w:rFonts w:eastAsia="Calibri" w:cs="Calibri"/>
          <w:sz w:val="21"/>
          <w:szCs w:val="21"/>
        </w:rPr>
        <w:t>[6] P. Veličković, G. Cucurull, A. Casanova, A. Romero, P. Liò, and Y. Bengio, "Graph Attention Networks," in Proc. 6th Int. Conf. Learning Representations (ICLR 2018), Vancouver, BC, Canada, 2018.</w:t>
      </w:r>
    </w:p>
    <w:p>
      <w:pPr>
        <w:pStyle w:val="Normal"/>
        <w:spacing w:before="0" w:after="140"/>
        <w:ind w:left="360" w:hanging="360"/>
        <w:rPr/>
      </w:pPr>
      <w:r>
        <w:rPr>
          <w:rFonts w:eastAsia="Calibri" w:cs="Calibri"/>
          <w:sz w:val="21"/>
          <w:szCs w:val="21"/>
        </w:rPr>
        <w:t>[7] M. Schlichtkrull, T. N. Kipf, P. Bloem, R. van den Berg, I. Titov, and M. Welling, "Modeling Relational Data with Graph Convolutional Networks," in Proc. 15th European Semantic Web Conf. (ESWC 2018), Heraklion, Greece, 2018, pp. 593–607.</w:t>
      </w:r>
    </w:p>
    <w:p>
      <w:pPr>
        <w:pStyle w:val="Normal"/>
        <w:spacing w:before="0" w:after="140"/>
        <w:ind w:left="360" w:hanging="360"/>
        <w:rPr/>
      </w:pPr>
      <w:r>
        <w:rPr>
          <w:rFonts w:eastAsia="Calibri" w:cs="Calibri"/>
          <w:sz w:val="21"/>
          <w:szCs w:val="21"/>
        </w:rPr>
        <w:t>[8] Z. Hu, Y. Dong, K. Wang, and Y. Sun, "Heterogeneous Graph Transformer," in Proc. Web Conf. 2020 (WWW '20), Taipei, Taiwan, 2020, pp. 2704–2710.</w:t>
      </w:r>
    </w:p>
    <w:p>
      <w:pPr>
        <w:pStyle w:val="Normal"/>
        <w:spacing w:before="0" w:after="140"/>
        <w:ind w:left="360" w:hanging="360"/>
        <w:rPr/>
      </w:pPr>
      <w:r>
        <w:rPr>
          <w:rFonts w:eastAsia="Calibri" w:cs="Calibri"/>
          <w:sz w:val="21"/>
          <w:szCs w:val="21"/>
        </w:rPr>
        <w:t>[9] Y. Feng, H. You, Z. Zhang, R. Ji, and Y. Gao, "Hypergraph Neural Networks," in Proc. AAAI Conf. Artificial Intelligence, vol. 33, no. 1, 2019, pp. 3558–3565.</w:t>
      </w:r>
    </w:p>
    <w:p>
      <w:pPr>
        <w:pStyle w:val="Normal"/>
        <w:spacing w:before="0" w:after="140"/>
        <w:ind w:left="360" w:hanging="360"/>
        <w:rPr/>
      </w:pPr>
      <w:r>
        <w:rPr>
          <w:rFonts w:eastAsia="Calibri" w:cs="Calibri"/>
          <w:sz w:val="21"/>
          <w:szCs w:val="21"/>
        </w:rPr>
        <w:t>[10] T. Pourhabibi, K.-L. Ong, B. H. Kam, and Y. L. Boo, "Fraud Detection: A Systematic Literature Review of Graph-Based Anomaly Detection Approaches," Decision Support Systems, vol. 133, art. 113303, 2020.</w:t>
      </w:r>
    </w:p>
    <w:p>
      <w:pPr>
        <w:pStyle w:val="Normal"/>
        <w:spacing w:before="0" w:after="140"/>
        <w:ind w:left="360" w:hanging="360"/>
        <w:rPr/>
      </w:pPr>
      <w:r>
        <w:rPr>
          <w:rFonts w:eastAsia="Calibri" w:cs="Calibri"/>
          <w:sz w:val="21"/>
          <w:szCs w:val="21"/>
        </w:rPr>
        <w:t>[11] M. J. Nigrini, Benford's Law: Applications for Forensic Accounting, Auditing, and Fraud Detection. Hoboken, NJ, USA: John Wiley &amp; Sons, 2012.</w:t>
      </w:r>
    </w:p>
    <w:p>
      <w:pPr>
        <w:pStyle w:val="Normal"/>
        <w:spacing w:before="0" w:after="140"/>
        <w:ind w:left="360" w:hanging="360"/>
        <w:rPr/>
      </w:pPr>
      <w:r>
        <w:rPr>
          <w:rFonts w:eastAsia="Calibri" w:cs="Calibri"/>
          <w:sz w:val="21"/>
          <w:szCs w:val="21"/>
        </w:rPr>
        <w:t>[12] F. T. Liu, K. M. Ting, and Z.-H. Zhou, "Isolation Forest," in Proc. 8th IEEE Int. Conf. Data Mining (ICDM 2008), Pisa, Italy, 2008, pp. 413–422.</w:t>
      </w:r>
    </w:p>
    <w:p>
      <w:pPr>
        <w:pStyle w:val="Normal"/>
        <w:spacing w:before="0" w:after="140"/>
        <w:ind w:left="360" w:hanging="360"/>
        <w:rPr/>
      </w:pPr>
      <w:r>
        <w:rPr>
          <w:rFonts w:eastAsia="Calibri" w:cs="Calibri"/>
          <w:sz w:val="21"/>
          <w:szCs w:val="21"/>
        </w:rPr>
        <w:t>[13] M. Sakurada and T. Yairi, "Anomaly Detection Using Autoencoders with Nonlinear Dimensionality Reduction," in Proc. MLSDA 2014 2nd Workshop on Machine Learning for Sensory Data Analysis, Gold Coast, Australia, 2014, pp. 4–11.</w:t>
      </w:r>
    </w:p>
    <w:sectPr>
      <w:headerReference w:type="default" r:id="rId2"/>
      <w:footerReference w:type="default" r:id="rId3"/>
      <w:type w:val="nextPage"/>
      <w:pgSz w:w="12240" w:h="15840"/>
      <w:pgMar w:left="1440" w:right="1440" w:header="708" w:top="1440" w:footer="708"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center"/>
      <w:rPr/>
    </w:pPr>
    <w:r>
      <w:rPr/>
      <w:fldChar w:fldCharType="begin"/>
    </w:r>
    <w:r>
      <w:rPr/>
      <w:instrText> PAGE </w:instrText>
    </w:r>
    <w:r>
      <w:rPr/>
      <w:fldChar w:fldCharType="separate"/>
    </w:r>
    <w:r>
      <w:rPr/>
      <w:t>15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jc w:val="right"/>
      <w:rPr/>
    </w:pPr>
    <w:r>
      <w:rPr>
        <w:rFonts w:eastAsia="Calibri" w:cs="Calibri"/>
        <w:color w:val="808080"/>
        <w:sz w:val="16"/>
        <w:szCs w:val="16"/>
      </w:rPr>
      <w:t>Generalized Graph-Native Fraud Detection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Wingdings" w:hAnsi="Wingdings" w:cs="Wingdings" w:hint="default"/>
      </w:rPr>
    </w:lvl>
    <w:lvl w:ilvl="1">
      <w:start w:val="1"/>
      <w:numFmt w:val="bullet"/>
      <w:lvlText w:val=""/>
      <w:lvlJc w:val="left"/>
      <w:pPr>
        <w:ind w:left="1440" w:hanging="360"/>
      </w:pPr>
      <w:rPr>
        <w:rFonts w:ascii="Wingdings 2" w:hAnsi="Wingdings 2" w:cs="Wingdings 2" w:hint="default"/>
      </w:rPr>
    </w:lvl>
    <w:lvl w:ilvl="2">
      <w:start w:val="1"/>
      <w:numFmt w:val="bullet"/>
      <w:lvlText w:val="■"/>
      <w:lvlJc w:val="left"/>
      <w:pPr>
        <w:ind w:left="2160" w:hanging="360"/>
      </w:pPr>
      <w:rPr>
        <w:rFonts w:ascii="OpenSymbol" w:hAnsi="OpenSymbol" w:cs="OpenSymbol" w:hint="default"/>
      </w:rPr>
    </w:lvl>
    <w:lvl w:ilvl="3">
      <w:start w:val="1"/>
      <w:numFmt w:val="bullet"/>
      <w:lvlText w:val=""/>
      <w:lvlJc w:val="left"/>
      <w:pPr>
        <w:ind w:left="2880" w:hanging="360"/>
      </w:pPr>
      <w:rPr>
        <w:rFonts w:ascii="Wingdings" w:hAnsi="Wingdings" w:cs="Wingdings" w:hint="default"/>
      </w:rPr>
    </w:lvl>
    <w:lvl w:ilvl="4">
      <w:start w:val="1"/>
      <w:numFmt w:val="bullet"/>
      <w:lvlText w:val=""/>
      <w:lvlJc w:val="left"/>
      <w:pPr>
        <w:ind w:left="3600" w:hanging="360"/>
      </w:pPr>
      <w:rPr>
        <w:rFonts w:ascii="Wingdings 2" w:hAnsi="Wingdings 2" w:cs="Wingdings 2" w:hint="default"/>
      </w:rPr>
    </w:lvl>
    <w:lvl w:ilvl="5">
      <w:start w:val="1"/>
      <w:numFmt w:val="bullet"/>
      <w:lvlText w:val="■"/>
      <w:lvlJc w:val="left"/>
      <w:pPr>
        <w:ind w:left="4320" w:hanging="360"/>
      </w:pPr>
      <w:rPr>
        <w:rFonts w:ascii="OpenSymbol" w:hAnsi="OpenSymbol" w:cs="OpenSymbol" w:hint="default"/>
      </w:rPr>
    </w:lvl>
    <w:lvl w:ilvl="6">
      <w:start w:val="1"/>
      <w:numFmt w:val="bullet"/>
      <w:lvlText w:val=""/>
      <w:lvlJc w:val="left"/>
      <w:pPr>
        <w:ind w:left="5040" w:hanging="360"/>
      </w:pPr>
      <w:rPr>
        <w:rFonts w:ascii="Wingdings" w:hAnsi="Wingdings" w:cs="Wingdings" w:hint="default"/>
      </w:rPr>
    </w:lvl>
    <w:lvl w:ilvl="7">
      <w:start w:val="1"/>
      <w:numFmt w:val="bullet"/>
      <w:lvlText w:val=""/>
      <w:lvlJc w:val="left"/>
      <w:pPr>
        <w:ind w:left="5760" w:hanging="360"/>
      </w:pPr>
      <w:rPr>
        <w:rFonts w:ascii="Wingdings" w:hAnsi="Wingdings" w:cs="Wingdings"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pPrDefault>
  </w:docDefaults>
  <w:style w:type="paragraph" w:styleId="Normal">
    <w:name w:val="Normal"/>
    <w:qFormat/>
    <w:pPr>
      <w:widowControl/>
      <w:bidi w:val="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80"/>
    </w:pPr>
    <w:rPr>
      <w:rFonts w:ascii="Calibri" w:hAnsi="Calibri" w:eastAsia="Calibri" w:cs="Calibri"/>
      <w:b/>
      <w:bCs/>
      <w:color w:val="1F4E78"/>
      <w:sz w:val="30"/>
      <w:szCs w:val="30"/>
    </w:rPr>
  </w:style>
  <w:style w:type="paragraph" w:styleId="Heading2">
    <w:name w:val="Heading 2"/>
    <w:basedOn w:val="Heading"/>
    <w:qFormat/>
    <w:pPr>
      <w:spacing w:before="260" w:after="140"/>
    </w:pPr>
    <w:rPr>
      <w:rFonts w:ascii="Calibri" w:hAnsi="Calibri" w:eastAsia="Calibri" w:cs="Calibri"/>
      <w:b/>
      <w:bCs/>
      <w:color w:val="2E75B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Internet 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Arial" w:hAnsi="Arial" w:eastAsia="Microsoft YaHei" w:cs="Lucida 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
    <w:name w:val="Strong"/>
    <w:qFormat/>
    <w:pPr>
      <w:widowControl/>
      <w:bidi w:val="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jc w:val="left"/>
    </w:pPr>
    <w:rPr>
      <w:rFonts w:ascii="Calibri" w:hAnsi="Calibri" w:eastAsia="Calibri" w:cs="Calibri"/>
      <w:color w:val="auto"/>
      <w:kern w:val="0"/>
      <w:sz w:val="22"/>
      <w:szCs w:val="22"/>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 w:type="paragraph" w:styleId="Header">
    <w:name w:val="Header"/>
    <w:basedOn w:val="Normal"/>
    <w:pPr/>
    <w:rPr/>
  </w:style>
  <w:style w:type="paragraph" w:styleId="Footer">
    <w:name w:val="Footer"/>
    <w:basedOn w:val="Normal"/>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TotalTime>
  <Application>Trio_Office/6.2.8.2$Windows_x86 LibreOffice_project/</Application>
  <Pages>15</Pages>
  <Words>5460</Words>
  <Characters>34200</Characters>
  <CharactersWithSpaces>39477</CharactersWithSpaces>
  <Paragraphs>216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2026-07-23T14:38:25Z</dcterms:created>
  <dc:creator>Un-named</dc:creator>
  <dc:description/>
  <dc:language>en-US</dc:language>
  <cp:lastModifiedBy/>
  <dcterms:modified xsi:type="dcterms:W3CDTF">2026-07-23T15:50:06Z</dcterms:modified>
  <cp:revision>2</cp:revision>
  <dc:subject/>
  <dc:title/>
</cp:coreProperties>
</file>