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6047C" w14:textId="77777777" w:rsidR="00B53268" w:rsidRPr="00B53268" w:rsidRDefault="00B53268" w:rsidP="00B53268">
      <w:pPr>
        <w:jc w:val="center"/>
        <w:rPr>
          <w:b/>
        </w:rPr>
      </w:pPr>
      <w:r w:rsidRPr="009E32B7">
        <w:rPr>
          <w:b/>
        </w:rPr>
        <w:t>APPENDIX – ESTIMATION OF TOUCHDOWN AND LIFT-OFF TIMES</w:t>
      </w:r>
      <w:bookmarkStart w:id="0" w:name="_GoBack"/>
      <w:bookmarkEnd w:id="0"/>
    </w:p>
    <w:p w14:paraId="0E66EF2D" w14:textId="77777777" w:rsidR="00B53268" w:rsidRDefault="00B53268" w:rsidP="00B53268">
      <w:pPr>
        <w:pStyle w:val="ListParagraph"/>
        <w:numPr>
          <w:ilvl w:val="0"/>
          <w:numId w:val="4"/>
        </w:numPr>
      </w:pPr>
      <w:r>
        <w:t xml:space="preserve">Touch down and lift off times for each survey tow were estimated from tilt angle data, as measured by a Star </w:t>
      </w:r>
      <w:proofErr w:type="spellStart"/>
      <w:r>
        <w:t>Oddi</w:t>
      </w:r>
      <w:proofErr w:type="spellEnd"/>
      <w:r>
        <w:t xml:space="preserve"> DST tilt probe encased in a stainless steel arm attached directly on the trawl footrope. </w:t>
      </w:r>
    </w:p>
    <w:p w14:paraId="1DF25B01" w14:textId="77777777" w:rsidR="00B53268" w:rsidRDefault="00B53268" w:rsidP="00B53268">
      <w:pPr>
        <w:pStyle w:val="ListParagraph"/>
        <w:ind w:left="360"/>
      </w:pPr>
    </w:p>
    <w:p w14:paraId="7599FE0A" w14:textId="77777777" w:rsidR="00B53268" w:rsidRDefault="00B53268" w:rsidP="00B53268">
      <w:pPr>
        <w:pStyle w:val="ListParagraph"/>
        <w:numPr>
          <w:ilvl w:val="0"/>
          <w:numId w:val="2"/>
        </w:numPr>
      </w:pPr>
      <w:r>
        <w:t>A piecewise linear model with smoothed transitions was used to model the tilt angles during the descent, bottom and ascent phases of trawling, as well as the transition periods between each phase.</w:t>
      </w:r>
    </w:p>
    <w:p w14:paraId="2FB3CD2E" w14:textId="77777777" w:rsidR="00B53268" w:rsidRPr="004B40E4" w:rsidRDefault="00B53268" w:rsidP="00B53268">
      <w:pPr>
        <w:pStyle w:val="ListParagraph"/>
        <w:numPr>
          <w:ilvl w:val="0"/>
          <w:numId w:val="2"/>
        </w:num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 xml:space="preserve"> represent the linear rates of angular change for the </w:t>
      </w:r>
      <w:r>
        <w:t>descent, bottom and ascent phases, respectively.</w:t>
      </w:r>
    </w:p>
    <w:p w14:paraId="1FD327D1" w14:textId="77777777" w:rsidR="00B53268" w:rsidRPr="00CF14BC" w:rsidRDefault="00B53268" w:rsidP="00B53268">
      <w:pPr>
        <w:pStyle w:val="ListParagraph"/>
        <w:numPr>
          <w:ilvl w:val="0"/>
          <w:numId w:val="2"/>
        </w:numPr>
        <w:rPr>
          <w:rFonts w:eastAsiaTheme="minorEastAsia"/>
        </w:rPr>
      </w:pPr>
      <w:r>
        <w:t xml:space="preserve">The touch down event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designates the </w:t>
      </w:r>
      <w:proofErr w:type="gramStart"/>
      <w:r>
        <w:t>time which separates the descent</w:t>
      </w:r>
      <w:proofErr w:type="gramEnd"/>
      <w:r>
        <w:t xml:space="preserve"> and trawling phase and the lift off event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CF2E2A">
        <w:t xml:space="preserve"> </w:t>
      </w:r>
      <w:r>
        <w:t>designates the time separating the trawling and ascent phase.</w:t>
      </w:r>
    </w:p>
    <w:p w14:paraId="02AB490F" w14:textId="77777777" w:rsidR="00B53268" w:rsidRPr="004F1CC2" w:rsidRDefault="00B53268" w:rsidP="00B53268">
      <w:pPr>
        <w:pStyle w:val="ListParagraph"/>
        <w:numPr>
          <w:ilvl w:val="0"/>
          <w:numId w:val="2"/>
        </w:numPr>
        <w:rPr>
          <w:rFonts w:eastAsiaTheme="minorEastAsia"/>
        </w:rPr>
      </w:pPr>
    </w:p>
    <w:p w14:paraId="001E668C" w14:textId="77777777" w:rsidR="00B53268" w:rsidRPr="003964CA" w:rsidRDefault="00B53268" w:rsidP="00B53268">
      <w:pPr>
        <w:pStyle w:val="ListParagraph"/>
        <w:numPr>
          <w:ilvl w:val="0"/>
          <w:numId w:val="2"/>
        </w:numPr>
        <w:rPr>
          <w:rFonts w:eastAsiaTheme="minorEastAsia"/>
        </w:rPr>
      </w:pPr>
      <w:r w:rsidRPr="00B051A0">
        <w:rPr>
          <w:rFonts w:eastAsiaTheme="minorEastAsia"/>
        </w:rPr>
        <w:t xml:space="preserve">We </w:t>
      </w:r>
      <w:r>
        <w:rPr>
          <w:rFonts w:eastAsiaTheme="minorEastAsia"/>
        </w:rPr>
        <w:t xml:space="preserve">allow for gradual transitions between each phase by defining </w:t>
      </w:r>
      <w:r w:rsidRPr="00B051A0">
        <w:rPr>
          <w:rFonts w:eastAsiaTheme="minorEastAsia"/>
        </w:rPr>
        <w:t xml:space="preserve">transition functions defined over the time intervals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Pr="00B051A0">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for the touchdown transition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Pr="00B051A0">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for the liftoff transition.</w:t>
      </w:r>
    </w:p>
    <w:p w14:paraId="2950AEC7" w14:textId="77777777" w:rsidR="00B53268" w:rsidRDefault="00B53268" w:rsidP="00B53268">
      <w:pPr>
        <w:pStyle w:val="ListParagraph"/>
        <w:numPr>
          <w:ilvl w:val="0"/>
          <w:numId w:val="2"/>
        </w:numPr>
      </w:pPr>
      <w:r>
        <w:t>We define a linear-quadratic-linear kernel function as:</w:t>
      </w:r>
    </w:p>
    <w:p w14:paraId="174DCF52" w14:textId="77777777" w:rsidR="00B53268" w:rsidRDefault="00B53268" w:rsidP="00B53268">
      <w:pPr>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t&lt;-1</m:t>
                    </m:r>
                  </m:e>
                </m:mr>
                <m:mr>
                  <m:e>
                    <m:f>
                      <m:fPr>
                        <m:ctrlPr>
                          <w:rPr>
                            <w:rFonts w:ascii="Cambria Math" w:hAnsi="Cambria Math"/>
                            <w:i/>
                          </w:rPr>
                        </m:ctrlPr>
                      </m:fPr>
                      <m:num>
                        <m:sSup>
                          <m:sSupPr>
                            <m:ctrlPr>
                              <w:rPr>
                                <w:rFonts w:ascii="Cambria Math" w:hAnsi="Cambria Math"/>
                                <w:i/>
                              </w:rPr>
                            </m:ctrlPr>
                          </m:sSupPr>
                          <m:e>
                            <m:r>
                              <w:rPr>
                                <w:rFonts w:ascii="Cambria Math" w:hAnsi="Cambria Math"/>
                              </w:rPr>
                              <m:t>(t+1)</m:t>
                            </m:r>
                          </m:e>
                          <m:sup>
                            <m:r>
                              <w:rPr>
                                <w:rFonts w:ascii="Cambria Math" w:hAnsi="Cambria Math"/>
                              </w:rPr>
                              <m:t>2</m:t>
                            </m:r>
                          </m:sup>
                        </m:sSup>
                      </m:num>
                      <m:den>
                        <m:r>
                          <w:rPr>
                            <w:rFonts w:ascii="Cambria Math" w:hAnsi="Cambria Math"/>
                          </w:rPr>
                          <m:t>4</m:t>
                        </m:r>
                      </m:den>
                    </m:f>
                  </m:e>
                  <m:e>
                    <m:r>
                      <w:rPr>
                        <w:rFonts w:ascii="Cambria Math" w:hAnsi="Cambria Math"/>
                      </w:rPr>
                      <m:t>-1≤t≤+1</m:t>
                    </m:r>
                  </m:e>
                </m:mr>
                <m:mr>
                  <m:e>
                    <m:r>
                      <w:rPr>
                        <w:rFonts w:ascii="Cambria Math" w:hAnsi="Cambria Math"/>
                      </w:rPr>
                      <m:t>t</m:t>
                    </m:r>
                  </m:e>
                  <m:e>
                    <m:r>
                      <w:rPr>
                        <w:rFonts w:ascii="Cambria Math" w:hAnsi="Cambria Math"/>
                      </w:rPr>
                      <m:t>t&gt;+1</m:t>
                    </m:r>
                  </m:e>
                </m:mr>
              </m:m>
            </m:e>
          </m:d>
        </m:oMath>
      </m:oMathPara>
    </w:p>
    <w:p w14:paraId="1F174DDD" w14:textId="77777777" w:rsidR="00B53268" w:rsidRPr="006855E1" w:rsidRDefault="00B53268" w:rsidP="00B53268">
      <w:pPr>
        <w:pStyle w:val="ListParagraph"/>
        <w:numPr>
          <w:ilvl w:val="0"/>
          <w:numId w:val="3"/>
        </w:numPr>
      </w:pPr>
      <w:r>
        <w:t xml:space="preserve">This function is linear (i.e. zero constant) for values of </w:t>
      </w:r>
      <m:oMath>
        <m:r>
          <w:rPr>
            <w:rFonts w:ascii="Cambria Math" w:hAnsi="Cambria Math"/>
          </w:rPr>
          <m:t>t&lt;-1</m:t>
        </m:r>
      </m:oMath>
      <w:r>
        <w:rPr>
          <w:rFonts w:eastAsiaTheme="minorEastAsia"/>
        </w:rPr>
        <w:t xml:space="preserve">, becomes quadratic in the domain </w:t>
      </w:r>
      <m:oMath>
        <m:r>
          <w:rPr>
            <w:rFonts w:ascii="Cambria Math" w:hAnsi="Cambria Math"/>
          </w:rPr>
          <m:t>-1≤t≤+1</m:t>
        </m:r>
      </m:oMath>
      <w:r>
        <w:rPr>
          <w:rFonts w:eastAsiaTheme="minorEastAsia"/>
        </w:rPr>
        <w:t xml:space="preserve">, then becomes linear again for </w:t>
      </w:r>
      <m:oMath>
        <m:r>
          <w:rPr>
            <w:rFonts w:ascii="Cambria Math" w:hAnsi="Cambria Math"/>
          </w:rPr>
          <m:t>t&gt;+1</m:t>
        </m:r>
      </m:oMath>
      <w:r>
        <w:rPr>
          <w:rFonts w:eastAsiaTheme="minorEastAsia"/>
        </w:rPr>
        <w:t xml:space="preserve">. </w:t>
      </w:r>
    </w:p>
    <w:p w14:paraId="5C12DF4A" w14:textId="77777777" w:rsidR="00B53268" w:rsidRPr="00D15860" w:rsidRDefault="00B53268" w:rsidP="00B53268">
      <w:pPr>
        <w:pStyle w:val="ListParagraph"/>
        <w:numPr>
          <w:ilvl w:val="0"/>
          <w:numId w:val="3"/>
        </w:numPr>
      </w:pPr>
      <w:r>
        <w:rPr>
          <w:rFonts w:eastAsiaTheme="minorEastAsia"/>
        </w:rPr>
        <w:t>I</w:t>
      </w:r>
      <w:r>
        <w:t xml:space="preserve">t also has smooth first-order derivatives at its transition points, </w:t>
      </w:r>
      <m:oMath>
        <m:r>
          <w:rPr>
            <w:rFonts w:ascii="Cambria Math" w:hAnsi="Cambria Math"/>
          </w:rPr>
          <m:t>k'</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k'</m:t>
        </m:r>
        <m:d>
          <m:dPr>
            <m:ctrlPr>
              <w:rPr>
                <w:rFonts w:ascii="Cambria Math" w:hAnsi="Cambria Math"/>
                <w:i/>
              </w:rPr>
            </m:ctrlPr>
          </m:dPr>
          <m:e>
            <m:r>
              <w:rPr>
                <w:rFonts w:ascii="Cambria Math" w:hAnsi="Cambria Math"/>
              </w:rPr>
              <m:t>+1</m:t>
            </m:r>
          </m:e>
        </m:d>
        <m:r>
          <w:rPr>
            <w:rFonts w:ascii="Cambria Math" w:hAnsi="Cambria Math"/>
          </w:rPr>
          <m:t>=1</m:t>
        </m:r>
      </m:oMath>
      <w:r>
        <w:rPr>
          <w:rFonts w:eastAsiaTheme="minorEastAsia"/>
        </w:rPr>
        <w:t xml:space="preserve">. </w:t>
      </w:r>
    </w:p>
    <w:p w14:paraId="5B0D0913" w14:textId="77777777" w:rsidR="00B53268" w:rsidRDefault="00B53268" w:rsidP="00B53268">
      <w:pPr>
        <w:pStyle w:val="ListParagraph"/>
        <w:ind w:left="360"/>
      </w:pPr>
    </w:p>
    <w:p w14:paraId="1E220D06" w14:textId="77777777" w:rsidR="00B53268" w:rsidRDefault="00B53268" w:rsidP="00B53268"/>
    <w:p w14:paraId="1B5A60F8" w14:textId="77777777" w:rsidR="00B53268" w:rsidRDefault="00B53268" w:rsidP="00B53268"/>
    <w:p w14:paraId="7546D000" w14:textId="77777777" w:rsidR="00B53268" w:rsidRDefault="00B53268" w:rsidP="00B53268">
      <w:r>
        <w:t xml:space="preserve">We then allow for gradual transitions to occur over time intervals centered on </w:t>
      </w:r>
      <w:proofErr w:type="gramStart"/>
      <w:r>
        <w:t xml:space="preserve">these  </w:t>
      </w:r>
      <w:proofErr w:type="gramEnd"/>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for the touch down 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for the lift off. This leads to a set of four transition times: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w:r>
        <w:rPr>
          <w:rFonts w:eastAsiaTheme="minorEastAsia"/>
        </w:rPr>
        <w:t xml:space="preserve"> for the touch down period,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r>
        <w:rPr>
          <w:rFonts w:eastAsiaTheme="minorEastAsia"/>
        </w:rPr>
        <w:t xml:space="preserve"> for the lift off period. </w:t>
      </w:r>
    </w:p>
    <w:p w14:paraId="38A67BE6" w14:textId="77777777" w:rsidR="00B53268" w:rsidRDefault="00B53268" w:rsidP="00B53268">
      <w:pPr>
        <w:rPr>
          <w:rFonts w:eastAsiaTheme="minorEastAsia"/>
        </w:rPr>
      </w:pPr>
      <w:r>
        <w:t xml:space="preserve">These transition times divide the tilt angle time series into five phases: the descent phase for </w:t>
      </w:r>
      <m:oMath>
        <m:r>
          <w:rPr>
            <w:rFonts w:ascii="Cambria Math" w:hAnsi="Cambria Math"/>
          </w:rPr>
          <m:t xml:space="preserve">t&lt;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w:r>
        <w:rPr>
          <w:rFonts w:eastAsiaTheme="minorEastAsia"/>
        </w:rPr>
        <w:t xml:space="preserve">, the transition to the bottom phase for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w:r>
        <w:rPr>
          <w:rFonts w:eastAsiaTheme="minorEastAsia"/>
        </w:rPr>
        <w:t xml:space="preserve">, the trawling phase for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proofErr w:type="gramStart"/>
      <w:r>
        <w:rPr>
          <w:rFonts w:eastAsiaTheme="minorEastAsia"/>
        </w:rPr>
        <w:t xml:space="preserve"> ,</w:t>
      </w:r>
      <w:proofErr w:type="gramEnd"/>
      <w:r>
        <w:rPr>
          <w:rFonts w:eastAsiaTheme="minorEastAsia"/>
        </w:rPr>
        <w:t xml:space="preserve"> the transition to the ascent phase for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r>
        <w:rPr>
          <w:rFonts w:eastAsiaTheme="minorEastAsia"/>
        </w:rPr>
        <w:t xml:space="preserve"> and the ascent phase for </w:t>
      </w:r>
      <m:oMath>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w:r>
        <w:rPr>
          <w:rFonts w:eastAsiaTheme="minorEastAsia"/>
        </w:rPr>
        <w:t xml:space="preserve">. </w:t>
      </w:r>
    </w:p>
    <w:p w14:paraId="65EBEF9C" w14:textId="77777777" w:rsidR="00B53268" w:rsidRDefault="00B53268" w:rsidP="00B53268">
      <w:pPr>
        <w:rPr>
          <w:rFonts w:eastAsiaTheme="minorEastAsia"/>
        </w:rPr>
      </w:pPr>
      <w:r>
        <w:rPr>
          <w:rFonts w:eastAsiaTheme="minorEastAsia"/>
        </w:rPr>
        <w:br w:type="page"/>
      </w:r>
    </w:p>
    <w:p w14:paraId="27541156" w14:textId="77777777" w:rsidR="00B53268" w:rsidRDefault="00B53268" w:rsidP="00B53268">
      <w:pPr>
        <w:rPr>
          <w:rFonts w:eastAsiaTheme="minorEastAsia"/>
        </w:rPr>
      </w:pPr>
    </w:p>
    <w:tbl>
      <w:tblPr>
        <w:tblStyle w:val="TableGrid"/>
        <w:tblW w:w="0" w:type="auto"/>
        <w:tblLook w:val="04A0" w:firstRow="1" w:lastRow="0" w:firstColumn="1" w:lastColumn="0" w:noHBand="0" w:noVBand="1"/>
      </w:tblPr>
      <w:tblGrid>
        <w:gridCol w:w="1345"/>
        <w:gridCol w:w="1710"/>
        <w:gridCol w:w="2555"/>
        <w:gridCol w:w="1012"/>
        <w:gridCol w:w="2875"/>
      </w:tblGrid>
      <w:tr w:rsidR="00B53268" w14:paraId="3C3411EB" w14:textId="77777777" w:rsidTr="001F030C">
        <w:tc>
          <w:tcPr>
            <w:tcW w:w="1345" w:type="dxa"/>
          </w:tcPr>
          <w:p w14:paraId="5F29C5AA" w14:textId="77777777" w:rsidR="00B53268" w:rsidRPr="004C5B20" w:rsidRDefault="00B53268" w:rsidP="001F030C">
            <w:pPr>
              <w:rPr>
                <w:b/>
              </w:rPr>
            </w:pPr>
            <w:r w:rsidRPr="004C5B20">
              <w:rPr>
                <w:b/>
              </w:rPr>
              <w:t>Phase</w:t>
            </w:r>
          </w:p>
        </w:tc>
        <w:tc>
          <w:tcPr>
            <w:tcW w:w="1710" w:type="dxa"/>
          </w:tcPr>
          <w:p w14:paraId="6090F827" w14:textId="77777777" w:rsidR="00B53268" w:rsidRPr="00D32018" w:rsidRDefault="00B53268" w:rsidP="001F030C">
            <w:pPr>
              <w:jc w:val="center"/>
              <w:rPr>
                <w:b/>
              </w:rPr>
            </w:pPr>
            <w:r w:rsidRPr="00D32018">
              <w:rPr>
                <w:b/>
              </w:rPr>
              <w:t>Lower bound</w:t>
            </w:r>
          </w:p>
        </w:tc>
        <w:tc>
          <w:tcPr>
            <w:tcW w:w="2555" w:type="dxa"/>
          </w:tcPr>
          <w:p w14:paraId="348CD180" w14:textId="77777777" w:rsidR="00B53268" w:rsidRPr="00D32018" w:rsidRDefault="00B53268" w:rsidP="001F030C">
            <w:pPr>
              <w:jc w:val="center"/>
              <w:rPr>
                <w:b/>
              </w:rPr>
            </w:pPr>
            <w:r w:rsidRPr="00D32018">
              <w:rPr>
                <w:b/>
              </w:rPr>
              <w:t>Upper bound</w:t>
            </w:r>
          </w:p>
        </w:tc>
        <w:tc>
          <w:tcPr>
            <w:tcW w:w="865" w:type="dxa"/>
          </w:tcPr>
          <w:p w14:paraId="194DF378" w14:textId="77777777" w:rsidR="00B53268" w:rsidRPr="00191885" w:rsidRDefault="00B53268" w:rsidP="001F030C">
            <w:pPr>
              <w:jc w:val="center"/>
              <w:rPr>
                <w:b/>
              </w:rPr>
            </w:pPr>
            <w:r w:rsidRPr="00191885">
              <w:rPr>
                <w:b/>
              </w:rPr>
              <w:t>Function</w:t>
            </w:r>
          </w:p>
        </w:tc>
        <w:tc>
          <w:tcPr>
            <w:tcW w:w="2875" w:type="dxa"/>
          </w:tcPr>
          <w:p w14:paraId="5E81FF82" w14:textId="77777777" w:rsidR="00B53268" w:rsidRPr="00D32018" w:rsidRDefault="00B53268" w:rsidP="001F030C">
            <w:pPr>
              <w:jc w:val="center"/>
              <w:rPr>
                <w:b/>
              </w:rPr>
            </w:pPr>
            <w:r w:rsidRPr="00D32018">
              <w:rPr>
                <w:b/>
              </w:rPr>
              <w:t>Polynomial</w:t>
            </w:r>
          </w:p>
        </w:tc>
      </w:tr>
      <w:tr w:rsidR="00B53268" w14:paraId="00867117" w14:textId="77777777" w:rsidTr="001F030C">
        <w:tc>
          <w:tcPr>
            <w:tcW w:w="1345" w:type="dxa"/>
          </w:tcPr>
          <w:p w14:paraId="34A0293B" w14:textId="77777777" w:rsidR="00B53268" w:rsidRDefault="00B53268" w:rsidP="001F030C">
            <w:r>
              <w:t>Descent</w:t>
            </w:r>
          </w:p>
        </w:tc>
        <w:tc>
          <w:tcPr>
            <w:tcW w:w="1710" w:type="dxa"/>
            <w:vAlign w:val="center"/>
          </w:tcPr>
          <w:p w14:paraId="7F5A937F" w14:textId="77777777" w:rsidR="00B53268" w:rsidRDefault="00B53268" w:rsidP="001F030C">
            <w:pPr>
              <w:jc w:val="center"/>
            </w:pPr>
            <w:r>
              <w:t>-</w:t>
            </w:r>
          </w:p>
        </w:tc>
        <w:tc>
          <w:tcPr>
            <w:tcW w:w="2555" w:type="dxa"/>
            <w:vAlign w:val="center"/>
          </w:tcPr>
          <w:p w14:paraId="50D971E3" w14:textId="77777777" w:rsidR="00B53268" w:rsidRDefault="00B53268" w:rsidP="001F030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865" w:type="dxa"/>
            <w:vAlign w:val="center"/>
          </w:tcPr>
          <w:p w14:paraId="40F2E9F5" w14:textId="77777777" w:rsidR="00B53268" w:rsidRDefault="00B53268" w:rsidP="001F030C">
            <w:pPr>
              <w:jc w:val="center"/>
            </w:pPr>
          </w:p>
        </w:tc>
        <w:tc>
          <w:tcPr>
            <w:tcW w:w="2875" w:type="dxa"/>
            <w:vAlign w:val="center"/>
          </w:tcPr>
          <w:p w14:paraId="42062356" w14:textId="77777777" w:rsidR="00B53268" w:rsidRDefault="00B53268" w:rsidP="001F030C">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t</m:t>
                </m:r>
              </m:oMath>
            </m:oMathPara>
          </w:p>
        </w:tc>
      </w:tr>
      <w:tr w:rsidR="00B53268" w14:paraId="3F8C5724" w14:textId="77777777" w:rsidTr="001F030C">
        <w:tc>
          <w:tcPr>
            <w:tcW w:w="1345" w:type="dxa"/>
          </w:tcPr>
          <w:p w14:paraId="40AD2079" w14:textId="77777777" w:rsidR="00B53268" w:rsidRDefault="00B53268" w:rsidP="001F030C">
            <w:r>
              <w:t xml:space="preserve">Touchdown </w:t>
            </w:r>
          </w:p>
        </w:tc>
        <w:tc>
          <w:tcPr>
            <w:tcW w:w="1710" w:type="dxa"/>
            <w:vAlign w:val="center"/>
          </w:tcPr>
          <w:p w14:paraId="4CC3A6BC" w14:textId="77777777" w:rsidR="00B53268" w:rsidRDefault="00B53268" w:rsidP="001F030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2555" w:type="dxa"/>
            <w:vAlign w:val="center"/>
          </w:tcPr>
          <w:p w14:paraId="08E06B5E" w14:textId="77777777" w:rsidR="00B53268" w:rsidRDefault="00B53268" w:rsidP="001F030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865" w:type="dxa"/>
            <w:vAlign w:val="center"/>
          </w:tcPr>
          <w:p w14:paraId="2483AC4C" w14:textId="77777777" w:rsidR="00B53268" w:rsidRDefault="00B53268" w:rsidP="001F030C">
            <w:pPr>
              <w:jc w:val="center"/>
            </w:pPr>
          </w:p>
        </w:tc>
        <w:tc>
          <w:tcPr>
            <w:tcW w:w="2875" w:type="dxa"/>
            <w:vAlign w:val="center"/>
          </w:tcPr>
          <w:p w14:paraId="6A75AD75" w14:textId="77777777" w:rsidR="00B53268" w:rsidRDefault="00B53268" w:rsidP="001F030C">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2t</m:t>
                            </m:r>
                          </m:e>
                          <m:sub>
                            <m:r>
                              <w:rPr>
                                <w:rFonts w:ascii="Cambria Math" w:hAnsi="Cambria Math"/>
                              </w:rPr>
                              <m:t>1</m:t>
                            </m:r>
                          </m:sub>
                        </m:sSub>
                        <m:r>
                          <w:rPr>
                            <w:rFonts w:ascii="Cambria Math" w:eastAsiaTheme="minorEastAsia" w:hAnsi="Cambria Math"/>
                          </w:rPr>
                          <m:t>-1</m:t>
                        </m:r>
                      </m:num>
                      <m:den>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en>
                    </m:f>
                  </m:e>
                </m:d>
              </m:oMath>
            </m:oMathPara>
          </w:p>
        </w:tc>
      </w:tr>
      <w:tr w:rsidR="00B53268" w14:paraId="248C8CE3" w14:textId="77777777" w:rsidTr="001F030C">
        <w:tc>
          <w:tcPr>
            <w:tcW w:w="1345" w:type="dxa"/>
          </w:tcPr>
          <w:p w14:paraId="05F7E0AA" w14:textId="77777777" w:rsidR="00B53268" w:rsidRDefault="00B53268" w:rsidP="001F030C">
            <w:r>
              <w:t>Trawling</w:t>
            </w:r>
          </w:p>
        </w:tc>
        <w:tc>
          <w:tcPr>
            <w:tcW w:w="1710" w:type="dxa"/>
            <w:vAlign w:val="center"/>
          </w:tcPr>
          <w:p w14:paraId="11729268" w14:textId="77777777" w:rsidR="00B53268" w:rsidRDefault="00B53268" w:rsidP="001F030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2555" w:type="dxa"/>
            <w:vAlign w:val="center"/>
          </w:tcPr>
          <w:p w14:paraId="73675F8B" w14:textId="77777777" w:rsidR="00B53268" w:rsidRDefault="00B53268" w:rsidP="001F030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oMath>
            </m:oMathPara>
          </w:p>
        </w:tc>
        <w:tc>
          <w:tcPr>
            <w:tcW w:w="865" w:type="dxa"/>
            <w:vAlign w:val="center"/>
          </w:tcPr>
          <w:p w14:paraId="5FC94770" w14:textId="77777777" w:rsidR="00B53268" w:rsidRDefault="00B53268" w:rsidP="001F030C">
            <w:pPr>
              <w:jc w:val="center"/>
            </w:pPr>
          </w:p>
        </w:tc>
        <w:tc>
          <w:tcPr>
            <w:tcW w:w="2875" w:type="dxa"/>
            <w:vAlign w:val="center"/>
          </w:tcPr>
          <w:p w14:paraId="47C67BEA" w14:textId="77777777" w:rsidR="00B53268" w:rsidRDefault="00B53268" w:rsidP="001F030C"/>
        </w:tc>
      </w:tr>
      <w:tr w:rsidR="00B53268" w14:paraId="274583B8" w14:textId="77777777" w:rsidTr="001F030C">
        <w:tc>
          <w:tcPr>
            <w:tcW w:w="1345" w:type="dxa"/>
          </w:tcPr>
          <w:p w14:paraId="3F05A1E1" w14:textId="77777777" w:rsidR="00B53268" w:rsidRDefault="00B53268" w:rsidP="001F030C">
            <w:proofErr w:type="spellStart"/>
            <w:r>
              <w:t>Liftoff</w:t>
            </w:r>
            <w:proofErr w:type="spellEnd"/>
            <w:r>
              <w:t xml:space="preserve"> </w:t>
            </w:r>
          </w:p>
        </w:tc>
        <w:tc>
          <w:tcPr>
            <w:tcW w:w="1710" w:type="dxa"/>
            <w:vAlign w:val="center"/>
          </w:tcPr>
          <w:p w14:paraId="561FFE2B" w14:textId="77777777" w:rsidR="00B53268" w:rsidRDefault="00B53268" w:rsidP="001F030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2555" w:type="dxa"/>
            <w:vAlign w:val="center"/>
          </w:tcPr>
          <w:p w14:paraId="246691C3" w14:textId="77777777" w:rsidR="00B53268" w:rsidRDefault="00B53268" w:rsidP="001F030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865" w:type="dxa"/>
            <w:vAlign w:val="center"/>
          </w:tcPr>
          <w:p w14:paraId="0DF2AD06" w14:textId="77777777" w:rsidR="00B53268" w:rsidRDefault="00B53268" w:rsidP="001F030C">
            <w:pPr>
              <w:jc w:val="center"/>
            </w:pPr>
          </w:p>
        </w:tc>
        <w:tc>
          <w:tcPr>
            <w:tcW w:w="2875" w:type="dxa"/>
            <w:vAlign w:val="center"/>
          </w:tcPr>
          <w:p w14:paraId="31E48816" w14:textId="77777777" w:rsidR="00B53268" w:rsidRDefault="00B53268" w:rsidP="001F030C"/>
        </w:tc>
      </w:tr>
      <w:tr w:rsidR="00B53268" w14:paraId="08929D33" w14:textId="77777777" w:rsidTr="001F030C">
        <w:tc>
          <w:tcPr>
            <w:tcW w:w="1345" w:type="dxa"/>
          </w:tcPr>
          <w:p w14:paraId="30DAE783" w14:textId="77777777" w:rsidR="00B53268" w:rsidRDefault="00B53268" w:rsidP="001F030C">
            <w:r>
              <w:t>Ascent</w:t>
            </w:r>
          </w:p>
        </w:tc>
        <w:tc>
          <w:tcPr>
            <w:tcW w:w="1710" w:type="dxa"/>
            <w:vAlign w:val="center"/>
          </w:tcPr>
          <w:p w14:paraId="58F052DF" w14:textId="77777777" w:rsidR="00B53268" w:rsidRDefault="00B53268" w:rsidP="001F030C">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2555" w:type="dxa"/>
            <w:vAlign w:val="center"/>
          </w:tcPr>
          <w:p w14:paraId="16A81D64" w14:textId="77777777" w:rsidR="00B53268" w:rsidRDefault="00B53268" w:rsidP="001F030C">
            <w:pPr>
              <w:jc w:val="center"/>
            </w:pPr>
            <w:r>
              <w:t>-</w:t>
            </w:r>
          </w:p>
        </w:tc>
        <w:tc>
          <w:tcPr>
            <w:tcW w:w="865" w:type="dxa"/>
            <w:vAlign w:val="center"/>
          </w:tcPr>
          <w:p w14:paraId="4A7C39C7" w14:textId="77777777" w:rsidR="00B53268" w:rsidRDefault="00B53268" w:rsidP="001F030C">
            <w:pPr>
              <w:jc w:val="center"/>
            </w:pPr>
          </w:p>
        </w:tc>
        <w:tc>
          <w:tcPr>
            <w:tcW w:w="2875" w:type="dxa"/>
            <w:vAlign w:val="center"/>
          </w:tcPr>
          <w:p w14:paraId="1AC166D4" w14:textId="77777777" w:rsidR="00B53268" w:rsidRDefault="00B53268" w:rsidP="001F030C"/>
        </w:tc>
      </w:tr>
    </w:tbl>
    <w:p w14:paraId="7BA55A42" w14:textId="77777777" w:rsidR="00B53268" w:rsidRDefault="00B53268" w:rsidP="00B53268"/>
    <w:p w14:paraId="118480AD" w14:textId="77777777" w:rsidR="00B53268" w:rsidRDefault="00B53268" w:rsidP="00B53268"/>
    <w:p w14:paraId="23493980" w14:textId="77777777" w:rsidR="003E0226" w:rsidRPr="00C0028C" w:rsidRDefault="003E0226" w:rsidP="006855E1">
      <w:pPr>
        <w:rPr>
          <w:lang w:val="en-US"/>
        </w:rPr>
      </w:pPr>
    </w:p>
    <w:sectPr w:rsidR="003E0226" w:rsidRPr="00C002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9AE"/>
    <w:multiLevelType w:val="hybridMultilevel"/>
    <w:tmpl w:val="EF505C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4BE00A38"/>
    <w:multiLevelType w:val="hybridMultilevel"/>
    <w:tmpl w:val="8DAEBE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69280337"/>
    <w:multiLevelType w:val="hybridMultilevel"/>
    <w:tmpl w:val="F00EE0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6B863E4D"/>
    <w:multiLevelType w:val="hybridMultilevel"/>
    <w:tmpl w:val="C3123C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30"/>
    <w:rsid w:val="00191885"/>
    <w:rsid w:val="001F6AF8"/>
    <w:rsid w:val="00242146"/>
    <w:rsid w:val="002B455B"/>
    <w:rsid w:val="003964CA"/>
    <w:rsid w:val="003E0226"/>
    <w:rsid w:val="0045701B"/>
    <w:rsid w:val="004B40E4"/>
    <w:rsid w:val="004C5B20"/>
    <w:rsid w:val="004F1CC2"/>
    <w:rsid w:val="006855E1"/>
    <w:rsid w:val="00764F55"/>
    <w:rsid w:val="00982230"/>
    <w:rsid w:val="00986A9B"/>
    <w:rsid w:val="00A36895"/>
    <w:rsid w:val="00B051A0"/>
    <w:rsid w:val="00B53268"/>
    <w:rsid w:val="00C0028C"/>
    <w:rsid w:val="00CF14BC"/>
    <w:rsid w:val="00CF2E2A"/>
    <w:rsid w:val="00D15860"/>
    <w:rsid w:val="00D32018"/>
    <w:rsid w:val="00E82A0A"/>
    <w:rsid w:val="00ED6AAE"/>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4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30"/>
    <w:pPr>
      <w:ind w:left="720"/>
      <w:contextualSpacing/>
    </w:pPr>
  </w:style>
  <w:style w:type="character" w:styleId="PlaceholderText">
    <w:name w:val="Placeholder Text"/>
    <w:basedOn w:val="DefaultParagraphFont"/>
    <w:uiPriority w:val="99"/>
    <w:semiHidden/>
    <w:rsid w:val="00ED6AAE"/>
    <w:rPr>
      <w:color w:val="808080"/>
    </w:rPr>
  </w:style>
  <w:style w:type="table" w:styleId="TableGrid">
    <w:name w:val="Table Grid"/>
    <w:basedOn w:val="TableNormal"/>
    <w:uiPriority w:val="39"/>
    <w:rsid w:val="004C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32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26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30"/>
    <w:pPr>
      <w:ind w:left="720"/>
      <w:contextualSpacing/>
    </w:pPr>
  </w:style>
  <w:style w:type="character" w:styleId="PlaceholderText">
    <w:name w:val="Placeholder Text"/>
    <w:basedOn w:val="DefaultParagraphFont"/>
    <w:uiPriority w:val="99"/>
    <w:semiHidden/>
    <w:rsid w:val="00ED6AAE"/>
    <w:rPr>
      <w:color w:val="808080"/>
    </w:rPr>
  </w:style>
  <w:style w:type="table" w:styleId="TableGrid">
    <w:name w:val="Table Grid"/>
    <w:basedOn w:val="TableNormal"/>
    <w:uiPriority w:val="39"/>
    <w:rsid w:val="004C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32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26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3360</TotalTime>
  <Pages>2</Pages>
  <Words>358</Words>
  <Characters>2044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3</cp:revision>
  <dcterms:created xsi:type="dcterms:W3CDTF">2020-02-20T13:16:00Z</dcterms:created>
  <dcterms:modified xsi:type="dcterms:W3CDTF">2021-03-15T22:29:00Z</dcterms:modified>
</cp:coreProperties>
</file>