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C0C46" w14:textId="420D7C52" w:rsidR="00B401BC" w:rsidRPr="0062352A" w:rsidRDefault="008146E3" w:rsidP="00F94623">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t xml:space="preserve">Historical Summary of </w:t>
      </w:r>
      <w:r w:rsidR="00B401BC" w:rsidRPr="0062352A">
        <w:rPr>
          <w:rFonts w:ascii="Helvetica" w:eastAsia="Times New Roman" w:hAnsi="Helvetica" w:cs="Times New Roman"/>
          <w:b/>
          <w:sz w:val="21"/>
          <w:szCs w:val="21"/>
          <w:lang w:val="en-CA"/>
        </w:rPr>
        <w:t>Surv</w:t>
      </w:r>
      <w:r>
        <w:rPr>
          <w:rFonts w:ascii="Helvetica" w:eastAsia="Times New Roman" w:hAnsi="Helvetica" w:cs="Times New Roman"/>
          <w:b/>
          <w:sz w:val="21"/>
          <w:szCs w:val="21"/>
          <w:lang w:val="en-CA"/>
        </w:rPr>
        <w:t>ey S</w:t>
      </w:r>
      <w:r w:rsidR="0062352A">
        <w:rPr>
          <w:rFonts w:ascii="Helvetica" w:eastAsia="Times New Roman" w:hAnsi="Helvetica" w:cs="Times New Roman"/>
          <w:b/>
          <w:sz w:val="21"/>
          <w:szCs w:val="21"/>
          <w:lang w:val="en-CA"/>
        </w:rPr>
        <w:t xml:space="preserve">tation </w:t>
      </w:r>
      <w:r>
        <w:rPr>
          <w:rFonts w:ascii="Helvetica" w:eastAsia="Times New Roman" w:hAnsi="Helvetica" w:cs="Times New Roman"/>
          <w:b/>
          <w:sz w:val="21"/>
          <w:szCs w:val="21"/>
          <w:lang w:val="en-CA"/>
        </w:rPr>
        <w:t>Relocations</w:t>
      </w:r>
    </w:p>
    <w:p w14:paraId="2D0FCA33" w14:textId="77777777" w:rsidR="0062352A" w:rsidRDefault="0062352A" w:rsidP="00F94623">
      <w:pPr>
        <w:rPr>
          <w:rFonts w:ascii="Helvetica" w:eastAsia="Times New Roman" w:hAnsi="Helvetica" w:cs="Times New Roman"/>
          <w:sz w:val="21"/>
          <w:szCs w:val="21"/>
          <w:lang w:val="en-CA"/>
        </w:rPr>
      </w:pPr>
    </w:p>
    <w:p w14:paraId="51CCC83D" w14:textId="49F50EC3" w:rsidR="00A06E19" w:rsidRDefault="00B401BC"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southern Gulf snow</w:t>
      </w:r>
      <w:r w:rsidR="004522C6">
        <w:rPr>
          <w:rFonts w:ascii="Helvetica" w:eastAsia="Times New Roman" w:hAnsi="Helvetica" w:cs="Times New Roman"/>
          <w:sz w:val="21"/>
          <w:szCs w:val="21"/>
          <w:lang w:val="en-CA"/>
        </w:rPr>
        <w:t xml:space="preserve"> crab </w:t>
      </w:r>
      <w:r w:rsidR="0062352A">
        <w:rPr>
          <w:rFonts w:ascii="Helvetica" w:eastAsia="Times New Roman" w:hAnsi="Helvetica" w:cs="Times New Roman"/>
          <w:sz w:val="21"/>
          <w:szCs w:val="21"/>
          <w:lang w:val="en-CA"/>
        </w:rPr>
        <w:t xml:space="preserve">annual </w:t>
      </w:r>
      <w:r w:rsidR="004522C6">
        <w:rPr>
          <w:rFonts w:ascii="Helvetica" w:eastAsia="Times New Roman" w:hAnsi="Helvetica" w:cs="Times New Roman"/>
          <w:sz w:val="21"/>
          <w:szCs w:val="21"/>
          <w:lang w:val="en-CA"/>
        </w:rPr>
        <w:t xml:space="preserve">survey has a </w:t>
      </w:r>
      <w:r w:rsidR="0062352A">
        <w:rPr>
          <w:rFonts w:ascii="Helvetica" w:eastAsia="Times New Roman" w:hAnsi="Helvetica" w:cs="Times New Roman"/>
          <w:sz w:val="21"/>
          <w:szCs w:val="21"/>
          <w:lang w:val="en-CA"/>
        </w:rPr>
        <w:t>34-year</w:t>
      </w:r>
      <w:r w:rsidR="004522C6">
        <w:rPr>
          <w:rFonts w:ascii="Helvetica" w:eastAsia="Times New Roman" w:hAnsi="Helvetica" w:cs="Times New Roman"/>
          <w:sz w:val="21"/>
          <w:szCs w:val="21"/>
          <w:lang w:val="en-CA"/>
        </w:rPr>
        <w:t xml:space="preserve"> history,</w:t>
      </w:r>
      <w:r w:rsidR="0094157F">
        <w:rPr>
          <w:rFonts w:ascii="Helvetica" w:eastAsia="Times New Roman" w:hAnsi="Helvetica" w:cs="Times New Roman"/>
          <w:sz w:val="21"/>
          <w:szCs w:val="21"/>
          <w:lang w:val="en-CA"/>
        </w:rPr>
        <w:t xml:space="preserve"> from initial exploratory foray</w:t>
      </w:r>
      <w:r w:rsidR="004522C6">
        <w:rPr>
          <w:rFonts w:ascii="Helvetica" w:eastAsia="Times New Roman" w:hAnsi="Helvetica" w:cs="Times New Roman"/>
          <w:sz w:val="21"/>
          <w:szCs w:val="21"/>
          <w:lang w:val="en-CA"/>
        </w:rPr>
        <w:t xml:space="preserve">s in 1987 and 1988 up to the present. </w:t>
      </w:r>
      <w:r w:rsidR="003E238D">
        <w:rPr>
          <w:rFonts w:ascii="Helvetica" w:eastAsia="Times New Roman" w:hAnsi="Helvetica" w:cs="Times New Roman"/>
          <w:sz w:val="21"/>
          <w:szCs w:val="21"/>
          <w:lang w:val="en-CA"/>
        </w:rPr>
        <w:t>Over</w:t>
      </w:r>
      <w:r w:rsidR="00A06E19">
        <w:rPr>
          <w:rFonts w:ascii="Helvetica" w:eastAsia="Times New Roman" w:hAnsi="Helvetica" w:cs="Times New Roman"/>
          <w:sz w:val="21"/>
          <w:szCs w:val="21"/>
          <w:lang w:val="en-CA"/>
        </w:rPr>
        <w:t xml:space="preserve"> this period, the survey has undergone </w:t>
      </w:r>
      <w:r w:rsidR="003E238D">
        <w:rPr>
          <w:rFonts w:ascii="Helvetica" w:eastAsia="Times New Roman" w:hAnsi="Helvetica" w:cs="Times New Roman"/>
          <w:sz w:val="21"/>
          <w:szCs w:val="21"/>
          <w:lang w:val="en-CA"/>
        </w:rPr>
        <w:t>multiple</w:t>
      </w:r>
      <w:r w:rsidR="00A06E19">
        <w:rPr>
          <w:rFonts w:ascii="Helvetica" w:eastAsia="Times New Roman" w:hAnsi="Helvetica" w:cs="Times New Roman"/>
          <w:sz w:val="21"/>
          <w:szCs w:val="21"/>
          <w:lang w:val="en-CA"/>
        </w:rPr>
        <w:t xml:space="preserve"> expansion</w:t>
      </w:r>
      <w:r w:rsidR="0094157F">
        <w:rPr>
          <w:rFonts w:ascii="Helvetica" w:eastAsia="Times New Roman" w:hAnsi="Helvetica" w:cs="Times New Roman"/>
          <w:sz w:val="21"/>
          <w:szCs w:val="21"/>
          <w:lang w:val="en-CA"/>
        </w:rPr>
        <w:t>s</w:t>
      </w:r>
      <w:r w:rsidR="00A06E19">
        <w:rPr>
          <w:rFonts w:ascii="Helvetica" w:eastAsia="Times New Roman" w:hAnsi="Helvetica" w:cs="Times New Roman"/>
          <w:sz w:val="21"/>
          <w:szCs w:val="21"/>
          <w:lang w:val="en-CA"/>
        </w:rPr>
        <w:t xml:space="preserve"> of </w:t>
      </w:r>
      <w:r w:rsidR="003E238D">
        <w:rPr>
          <w:rFonts w:ascii="Helvetica" w:eastAsia="Times New Roman" w:hAnsi="Helvetica" w:cs="Times New Roman"/>
          <w:sz w:val="21"/>
          <w:szCs w:val="21"/>
          <w:lang w:val="en-CA"/>
        </w:rPr>
        <w:t>its</w:t>
      </w:r>
      <w:r w:rsidR="00A06E19">
        <w:rPr>
          <w:rFonts w:ascii="Helvetica" w:eastAsia="Times New Roman" w:hAnsi="Helvetica" w:cs="Times New Roman"/>
          <w:sz w:val="21"/>
          <w:szCs w:val="21"/>
          <w:lang w:val="en-CA"/>
        </w:rPr>
        <w:t xml:space="preserve"> survey area, as well as changes in spatial sampling design.</w:t>
      </w:r>
      <w:r w:rsidR="0094157F">
        <w:rPr>
          <w:rFonts w:ascii="Helvetica" w:eastAsia="Times New Roman" w:hAnsi="Helvetica" w:cs="Times New Roman"/>
          <w:sz w:val="21"/>
          <w:szCs w:val="21"/>
          <w:lang w:val="en-CA"/>
        </w:rPr>
        <w:t xml:space="preserve"> </w:t>
      </w:r>
      <w:r w:rsidR="00A06E19">
        <w:rPr>
          <w:rFonts w:ascii="Helvetica" w:eastAsia="Times New Roman" w:hAnsi="Helvetica" w:cs="Times New Roman"/>
          <w:sz w:val="21"/>
          <w:szCs w:val="21"/>
          <w:lang w:val="en-CA"/>
        </w:rPr>
        <w:t xml:space="preserve">Details on the </w:t>
      </w:r>
      <w:r w:rsidR="0094157F">
        <w:rPr>
          <w:rFonts w:ascii="Helvetica" w:eastAsia="Times New Roman" w:hAnsi="Helvetica" w:cs="Times New Roman"/>
          <w:sz w:val="21"/>
          <w:szCs w:val="21"/>
          <w:lang w:val="en-CA"/>
        </w:rPr>
        <w:t xml:space="preserve">sampling protocol and </w:t>
      </w:r>
      <w:r w:rsidR="00A06E19">
        <w:rPr>
          <w:rFonts w:ascii="Helvetica" w:eastAsia="Times New Roman" w:hAnsi="Helvetica" w:cs="Times New Roman"/>
          <w:sz w:val="21"/>
          <w:szCs w:val="21"/>
          <w:lang w:val="en-CA"/>
        </w:rPr>
        <w:t>development of</w:t>
      </w:r>
      <w:r w:rsidR="0094157F">
        <w:rPr>
          <w:rFonts w:ascii="Helvetica" w:eastAsia="Times New Roman" w:hAnsi="Helvetica" w:cs="Times New Roman"/>
          <w:sz w:val="21"/>
          <w:szCs w:val="21"/>
          <w:lang w:val="en-CA"/>
        </w:rPr>
        <w:t xml:space="preserve"> this survey can be found in </w:t>
      </w:r>
      <w:r w:rsidR="0094157F" w:rsidRPr="00773647">
        <w:rPr>
          <w:rFonts w:ascii="Helvetica" w:eastAsia="Times New Roman" w:hAnsi="Helvetica" w:cs="Times New Roman"/>
          <w:sz w:val="21"/>
          <w:szCs w:val="21"/>
          <w:lang w:val="en-CA"/>
        </w:rPr>
        <w:t>Moriyasu</w:t>
      </w:r>
      <w:r w:rsidR="0094157F">
        <w:rPr>
          <w:rFonts w:ascii="Helvetica" w:eastAsia="Times New Roman" w:hAnsi="Helvetica" w:cs="Times New Roman"/>
          <w:sz w:val="21"/>
          <w:szCs w:val="21"/>
          <w:lang w:val="en-CA"/>
        </w:rPr>
        <w:t xml:space="preserve"> et al</w:t>
      </w:r>
      <w:r w:rsidR="0094157F" w:rsidRPr="00773647">
        <w:rPr>
          <w:rFonts w:ascii="Helvetica" w:eastAsia="Times New Roman" w:hAnsi="Helvetica" w:cs="Times New Roman"/>
          <w:sz w:val="21"/>
          <w:szCs w:val="21"/>
          <w:lang w:val="en-CA"/>
        </w:rPr>
        <w:t>. 2008.</w:t>
      </w:r>
    </w:p>
    <w:p w14:paraId="382AB177" w14:textId="77777777" w:rsidR="00A06E19" w:rsidRDefault="00A06E19" w:rsidP="00F94623">
      <w:pPr>
        <w:rPr>
          <w:rFonts w:ascii="Helvetica" w:eastAsia="Times New Roman" w:hAnsi="Helvetica" w:cs="Times New Roman"/>
          <w:sz w:val="21"/>
          <w:szCs w:val="21"/>
          <w:lang w:val="en-CA"/>
        </w:rPr>
      </w:pPr>
    </w:p>
    <w:p w14:paraId="58E6EBE2" w14:textId="3E1F772C" w:rsidR="00A06E19" w:rsidRDefault="00A06E19" w:rsidP="00A06E19">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The </w:t>
      </w:r>
      <w:r w:rsidR="003E238D">
        <w:rPr>
          <w:rFonts w:ascii="Helvetica" w:eastAsia="Times New Roman" w:hAnsi="Helvetica" w:cs="Times New Roman"/>
          <w:sz w:val="21"/>
          <w:szCs w:val="21"/>
          <w:lang w:val="en-CA"/>
        </w:rPr>
        <w:t xml:space="preserve">spatial </w:t>
      </w:r>
      <w:r>
        <w:rPr>
          <w:rFonts w:ascii="Helvetica" w:eastAsia="Times New Roman" w:hAnsi="Helvetica" w:cs="Times New Roman"/>
          <w:sz w:val="21"/>
          <w:szCs w:val="21"/>
          <w:lang w:val="en-CA"/>
        </w:rPr>
        <w:t xml:space="preserve">sampling design </w:t>
      </w:r>
      <w:r w:rsidR="003E238D">
        <w:rPr>
          <w:rFonts w:ascii="Helvetica" w:eastAsia="Times New Roman" w:hAnsi="Helvetica" w:cs="Times New Roman"/>
          <w:sz w:val="21"/>
          <w:szCs w:val="21"/>
          <w:lang w:val="en-CA"/>
        </w:rPr>
        <w:t>is</w:t>
      </w:r>
      <w:r>
        <w:rPr>
          <w:rFonts w:ascii="Helvetica" w:eastAsia="Times New Roman" w:hAnsi="Helvetica" w:cs="Times New Roman"/>
          <w:sz w:val="21"/>
          <w:szCs w:val="21"/>
          <w:lang w:val="en-CA"/>
        </w:rPr>
        <w:t xml:space="preserve"> based on randomly selected sampling stations within </w:t>
      </w:r>
      <w:r w:rsidR="0094157F">
        <w:rPr>
          <w:rFonts w:ascii="Helvetica" w:eastAsia="Times New Roman" w:hAnsi="Helvetica" w:cs="Times New Roman"/>
          <w:sz w:val="21"/>
          <w:szCs w:val="21"/>
          <w:lang w:val="en-CA"/>
        </w:rPr>
        <w:t xml:space="preserve">a regular </w:t>
      </w:r>
      <w:r>
        <w:rPr>
          <w:rFonts w:ascii="Helvetica" w:eastAsia="Times New Roman" w:hAnsi="Helvetica" w:cs="Times New Roman"/>
          <w:sz w:val="21"/>
          <w:szCs w:val="21"/>
          <w:lang w:val="en-CA"/>
        </w:rPr>
        <w:t xml:space="preserve">grid overlaying the survey area. </w:t>
      </w:r>
      <w:r w:rsidR="003E238D">
        <w:rPr>
          <w:rFonts w:ascii="Helvetica" w:eastAsia="Times New Roman" w:hAnsi="Helvetica" w:cs="Times New Roman"/>
          <w:sz w:val="21"/>
          <w:szCs w:val="21"/>
          <w:lang w:val="en-CA"/>
        </w:rPr>
        <w:t>From 1988 to 2011, r</w:t>
      </w:r>
      <w:r w:rsidR="0094157F">
        <w:rPr>
          <w:rFonts w:ascii="Helvetica" w:eastAsia="Times New Roman" w:hAnsi="Helvetica" w:cs="Times New Roman"/>
          <w:sz w:val="21"/>
          <w:szCs w:val="21"/>
          <w:lang w:val="en-CA"/>
        </w:rPr>
        <w:t>ectangular 10’x10’ grids were used</w:t>
      </w:r>
      <w:r w:rsidR="003E238D">
        <w:rPr>
          <w:rFonts w:ascii="Helvetica" w:eastAsia="Times New Roman" w:hAnsi="Helvetica" w:cs="Times New Roman"/>
          <w:sz w:val="21"/>
          <w:szCs w:val="21"/>
          <w:lang w:val="en-CA"/>
        </w:rPr>
        <w:t xml:space="preserve"> and subsequently replaced square</w:t>
      </w:r>
      <w:r w:rsidR="0094157F">
        <w:rPr>
          <w:rFonts w:ascii="Helvetica" w:eastAsia="Times New Roman" w:hAnsi="Helvetica" w:cs="Times New Roman"/>
          <w:sz w:val="21"/>
          <w:szCs w:val="21"/>
          <w:lang w:val="en-CA"/>
        </w:rPr>
        <w:t xml:space="preserve"> of square grids in 2012 onwards. </w:t>
      </w:r>
      <w:r w:rsidR="003E238D">
        <w:rPr>
          <w:rFonts w:ascii="Helvetica" w:eastAsia="Times New Roman" w:hAnsi="Helvetica" w:cs="Times New Roman"/>
          <w:sz w:val="21"/>
          <w:szCs w:val="21"/>
          <w:lang w:val="en-CA"/>
        </w:rPr>
        <w:t>Large subsets of</w:t>
      </w:r>
      <w:r>
        <w:rPr>
          <w:rFonts w:ascii="Helvetica" w:eastAsia="Times New Roman" w:hAnsi="Helvetica" w:cs="Times New Roman"/>
          <w:sz w:val="21"/>
          <w:szCs w:val="21"/>
          <w:lang w:val="en-CA"/>
        </w:rPr>
        <w:t xml:space="preserve"> sampling stations were fixed </w:t>
      </w:r>
      <w:r w:rsidR="003E238D">
        <w:rPr>
          <w:rFonts w:ascii="Helvetica" w:eastAsia="Times New Roman" w:hAnsi="Helvetica" w:cs="Times New Roman"/>
          <w:sz w:val="21"/>
          <w:szCs w:val="21"/>
          <w:lang w:val="en-CA"/>
        </w:rPr>
        <w:t xml:space="preserve">(i.e. resampled) </w:t>
      </w:r>
      <w:r>
        <w:rPr>
          <w:rFonts w:ascii="Helvetica" w:eastAsia="Times New Roman" w:hAnsi="Helvetica" w:cs="Times New Roman"/>
          <w:sz w:val="21"/>
          <w:szCs w:val="21"/>
          <w:lang w:val="en-CA"/>
        </w:rPr>
        <w:t xml:space="preserve">from year to year, though new sampling stations were </w:t>
      </w:r>
      <w:r w:rsidR="0094157F">
        <w:rPr>
          <w:rFonts w:ascii="Helvetica" w:eastAsia="Times New Roman" w:hAnsi="Helvetica" w:cs="Times New Roman"/>
          <w:sz w:val="21"/>
          <w:szCs w:val="21"/>
          <w:lang w:val="en-CA"/>
        </w:rPr>
        <w:t xml:space="preserve">continually </w:t>
      </w:r>
      <w:r>
        <w:rPr>
          <w:rFonts w:ascii="Helvetica" w:eastAsia="Times New Roman" w:hAnsi="Helvetica" w:cs="Times New Roman"/>
          <w:sz w:val="21"/>
          <w:szCs w:val="21"/>
          <w:lang w:val="en-CA"/>
        </w:rPr>
        <w:t xml:space="preserve">added through survey expansions, </w:t>
      </w:r>
      <w:r w:rsidR="0094157F">
        <w:rPr>
          <w:rFonts w:ascii="Helvetica" w:eastAsia="Times New Roman" w:hAnsi="Helvetica" w:cs="Times New Roman"/>
          <w:sz w:val="21"/>
          <w:szCs w:val="21"/>
          <w:lang w:val="en-CA"/>
        </w:rPr>
        <w:t>relocation of sampling</w:t>
      </w:r>
      <w:r>
        <w:rPr>
          <w:rFonts w:ascii="Helvetica" w:eastAsia="Times New Roman" w:hAnsi="Helvetica" w:cs="Times New Roman"/>
          <w:sz w:val="21"/>
          <w:szCs w:val="21"/>
          <w:lang w:val="en-CA"/>
        </w:rPr>
        <w:t xml:space="preserve"> stations from difficult </w:t>
      </w:r>
      <w:r w:rsidR="0094157F">
        <w:rPr>
          <w:rFonts w:ascii="Helvetica" w:eastAsia="Times New Roman" w:hAnsi="Helvetica" w:cs="Times New Roman"/>
          <w:sz w:val="21"/>
          <w:szCs w:val="21"/>
          <w:lang w:val="en-CA"/>
        </w:rPr>
        <w:t xml:space="preserve">to more favourable </w:t>
      </w:r>
      <w:r>
        <w:rPr>
          <w:rFonts w:ascii="Helvetica" w:eastAsia="Times New Roman" w:hAnsi="Helvetica" w:cs="Times New Roman"/>
          <w:sz w:val="21"/>
          <w:szCs w:val="21"/>
          <w:lang w:val="en-CA"/>
        </w:rPr>
        <w:t xml:space="preserve">trawling locations, and </w:t>
      </w:r>
      <w:r w:rsidR="003E238D">
        <w:rPr>
          <w:rFonts w:ascii="Helvetica" w:eastAsia="Times New Roman" w:hAnsi="Helvetica" w:cs="Times New Roman"/>
          <w:sz w:val="21"/>
          <w:szCs w:val="21"/>
          <w:lang w:val="en-CA"/>
        </w:rPr>
        <w:t xml:space="preserve">in response to </w:t>
      </w:r>
      <w:r>
        <w:rPr>
          <w:rFonts w:ascii="Helvetica" w:eastAsia="Times New Roman" w:hAnsi="Helvetica" w:cs="Times New Roman"/>
          <w:sz w:val="21"/>
          <w:szCs w:val="21"/>
          <w:lang w:val="en-CA"/>
        </w:rPr>
        <w:t>changes in spatial sampling design</w:t>
      </w:r>
      <w:r w:rsidR="0094157F">
        <w:rPr>
          <w:rFonts w:ascii="Helvetica" w:eastAsia="Times New Roman" w:hAnsi="Helvetica" w:cs="Times New Roman"/>
          <w:sz w:val="21"/>
          <w:szCs w:val="21"/>
          <w:lang w:val="en-CA"/>
        </w:rPr>
        <w:t xml:space="preserve"> in </w:t>
      </w:r>
      <w:r w:rsidR="00773647">
        <w:rPr>
          <w:rFonts w:ascii="Helvetica" w:eastAsia="Times New Roman" w:hAnsi="Helvetica" w:cs="Times New Roman"/>
          <w:sz w:val="21"/>
          <w:szCs w:val="21"/>
          <w:lang w:val="en-CA"/>
        </w:rPr>
        <w:t xml:space="preserve">1991, </w:t>
      </w:r>
      <w:r w:rsidR="0094157F">
        <w:rPr>
          <w:rFonts w:ascii="Helvetica" w:eastAsia="Times New Roman" w:hAnsi="Helvetica" w:cs="Times New Roman"/>
          <w:sz w:val="21"/>
          <w:szCs w:val="21"/>
          <w:lang w:val="en-CA"/>
        </w:rPr>
        <w:t xml:space="preserve">2006, </w:t>
      </w:r>
      <w:r w:rsidR="003E238D">
        <w:rPr>
          <w:rFonts w:ascii="Helvetica" w:eastAsia="Times New Roman" w:hAnsi="Helvetica" w:cs="Times New Roman"/>
          <w:sz w:val="21"/>
          <w:szCs w:val="21"/>
          <w:lang w:val="en-CA"/>
        </w:rPr>
        <w:t xml:space="preserve">and in </w:t>
      </w:r>
      <w:r w:rsidR="0094157F">
        <w:rPr>
          <w:rFonts w:ascii="Helvetica" w:eastAsia="Times New Roman" w:hAnsi="Helvetica" w:cs="Times New Roman"/>
          <w:sz w:val="21"/>
          <w:szCs w:val="21"/>
          <w:lang w:val="en-CA"/>
        </w:rPr>
        <w:t>2012 and 2013</w:t>
      </w:r>
      <w:r>
        <w:rPr>
          <w:rFonts w:ascii="Helvetica" w:eastAsia="Times New Roman" w:hAnsi="Helvetica" w:cs="Times New Roman"/>
          <w:sz w:val="21"/>
          <w:szCs w:val="21"/>
          <w:lang w:val="en-CA"/>
        </w:rPr>
        <w:t>.</w:t>
      </w:r>
    </w:p>
    <w:p w14:paraId="2DF42C26" w14:textId="77777777" w:rsidR="00A06E19" w:rsidRDefault="00A06E19" w:rsidP="00F94623">
      <w:pPr>
        <w:rPr>
          <w:rFonts w:ascii="Helvetica" w:eastAsia="Times New Roman" w:hAnsi="Helvetica" w:cs="Times New Roman"/>
          <w:sz w:val="21"/>
          <w:szCs w:val="21"/>
          <w:lang w:val="en-CA"/>
        </w:rPr>
      </w:pPr>
    </w:p>
    <w:p w14:paraId="0B4E68A0" w14:textId="41708189" w:rsidR="004522C6" w:rsidRDefault="00A06E19"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shows a </w:t>
      </w:r>
      <w:r w:rsidR="00773647">
        <w:rPr>
          <w:rFonts w:ascii="Helvetica" w:eastAsia="Times New Roman" w:hAnsi="Helvetica" w:cs="Times New Roman"/>
          <w:sz w:val="21"/>
          <w:szCs w:val="21"/>
          <w:lang w:val="en-CA"/>
        </w:rPr>
        <w:t xml:space="preserve">generated historical summary of </w:t>
      </w:r>
      <w:r w:rsidR="003E238D">
        <w:rPr>
          <w:rFonts w:ascii="Helvetica" w:eastAsia="Times New Roman" w:hAnsi="Helvetica" w:cs="Times New Roman"/>
          <w:sz w:val="21"/>
          <w:szCs w:val="21"/>
          <w:lang w:val="en-CA"/>
        </w:rPr>
        <w:t xml:space="preserve">the complete set of </w:t>
      </w:r>
      <w:r w:rsidR="00773647">
        <w:rPr>
          <w:rFonts w:ascii="Helvetica" w:eastAsia="Times New Roman" w:hAnsi="Helvetica" w:cs="Times New Roman"/>
          <w:sz w:val="21"/>
          <w:szCs w:val="21"/>
          <w:lang w:val="en-CA"/>
        </w:rPr>
        <w:t xml:space="preserve">sampling stations used in the snow crab surveys from 1988 to 2020. Stations lying within a </w:t>
      </w:r>
      <w:r w:rsidR="00050E97">
        <w:rPr>
          <w:rFonts w:ascii="Helvetica" w:eastAsia="Times New Roman" w:hAnsi="Helvetica" w:cs="Times New Roman"/>
          <w:sz w:val="21"/>
          <w:szCs w:val="21"/>
          <w:lang w:val="en-CA"/>
        </w:rPr>
        <w:t>1.5</w:t>
      </w:r>
      <w:r w:rsidR="00773647">
        <w:rPr>
          <w:rFonts w:ascii="Helvetica" w:eastAsia="Times New Roman" w:hAnsi="Helvetica" w:cs="Times New Roman"/>
          <w:sz w:val="21"/>
          <w:szCs w:val="21"/>
          <w:lang w:val="en-CA"/>
        </w:rPr>
        <w:t xml:space="preserve"> km distance of each other were labelled as belonging to the same sampling station. </w:t>
      </w:r>
    </w:p>
    <w:p w14:paraId="5A108C27" w14:textId="77777777" w:rsidR="00773647" w:rsidRDefault="00773647" w:rsidP="00F94623">
      <w:pPr>
        <w:rPr>
          <w:rFonts w:ascii="Helvetica" w:eastAsia="Times New Roman" w:hAnsi="Helvetica" w:cs="Times New Roman"/>
          <w:sz w:val="21"/>
          <w:szCs w:val="21"/>
          <w:lang w:val="en-CA"/>
        </w:rPr>
      </w:pPr>
    </w:p>
    <w:p w14:paraId="47DD9FB1" w14:textId="77777777" w:rsidR="0062352A" w:rsidRDefault="0062352A" w:rsidP="0062352A">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drawing>
          <wp:inline distT="0" distB="0" distL="0" distR="0" wp14:anchorId="055000A9" wp14:editId="27AECD0C">
            <wp:extent cx="5028542" cy="4548249"/>
            <wp:effectExtent l="0" t="0" r="0" b="0"/>
            <wp:docPr id="5" name="Picture 5" descr="Macintosh HD:Users:crustacean:Desktop:Stock-Assessment-2020:results:figures:Survey Station History.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rustacean:Desktop:Stock-Assessment-2020:results:figures:Survey Station History.pdf"/>
                    <pic:cNvPicPr>
                      <a:picLocks noChangeAspect="1" noChangeArrowheads="1"/>
                    </pic:cNvPicPr>
                  </pic:nvPicPr>
                  <pic:blipFill rotWithShape="1">
                    <a:blip r:embed="rId5">
                      <a:extLst>
                        <a:ext uri="{28A0092B-C50C-407E-A947-70E740481C1C}">
                          <a14:useLocalDpi xmlns:a14="http://schemas.microsoft.com/office/drawing/2010/main" val="0"/>
                        </a:ext>
                      </a:extLst>
                    </a:blip>
                    <a:srcRect t="7084" b="2467"/>
                    <a:stretch/>
                  </pic:blipFill>
                  <pic:spPr bwMode="auto">
                    <a:xfrm>
                      <a:off x="0" y="0"/>
                      <a:ext cx="5029200" cy="4548844"/>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C4415E1" w14:textId="77777777" w:rsidR="0062352A" w:rsidRDefault="0062352A" w:rsidP="0062352A">
      <w:pPr>
        <w:rPr>
          <w:rFonts w:ascii="Helvetica" w:eastAsia="Times New Roman" w:hAnsi="Helvetica" w:cs="Times New Roman"/>
          <w:sz w:val="21"/>
          <w:szCs w:val="21"/>
          <w:lang w:val="en-CA"/>
        </w:rPr>
      </w:pPr>
    </w:p>
    <w:p w14:paraId="7B0824A3" w14:textId="3EA3DFE1" w:rsidR="0062352A" w:rsidRPr="008146E3" w:rsidRDefault="0062352A" w:rsidP="0062352A">
      <w:pPr>
        <w:rPr>
          <w:rFonts w:ascii="Helvetica" w:eastAsia="Times New Roman" w:hAnsi="Helvetica" w:cs="Times New Roman"/>
          <w:sz w:val="22"/>
          <w:szCs w:val="22"/>
          <w:lang w:val="en-CA"/>
        </w:rPr>
      </w:pPr>
      <w:r w:rsidRPr="0094157F">
        <w:rPr>
          <w:rFonts w:ascii="Helvetica" w:eastAsia="Times New Roman" w:hAnsi="Helvetica" w:cs="Times New Roman"/>
          <w:b/>
          <w:sz w:val="21"/>
          <w:szCs w:val="21"/>
          <w:lang w:val="en-CA"/>
        </w:rPr>
        <w:t>Figure 1</w:t>
      </w:r>
      <w:r>
        <w:rPr>
          <w:rFonts w:ascii="Helvetica" w:eastAsia="Times New Roman" w:hAnsi="Helvetica" w:cs="Times New Roman"/>
          <w:sz w:val="21"/>
          <w:szCs w:val="21"/>
          <w:lang w:val="en-CA"/>
        </w:rPr>
        <w:t xml:space="preserve">: </w:t>
      </w:r>
      <w:r w:rsidR="0094157F" w:rsidRPr="008146E3">
        <w:rPr>
          <w:rFonts w:ascii="Helvetica" w:eastAsia="Times New Roman" w:hAnsi="Helvetica" w:cs="Times New Roman"/>
          <w:sz w:val="22"/>
          <w:szCs w:val="22"/>
          <w:lang w:val="en-CA"/>
        </w:rPr>
        <w:t xml:space="preserve">Historical cumulative summary of sampling stations added during the annual southern Gulf of Saint Lawrence snow crab survey. </w:t>
      </w:r>
      <w:r w:rsidR="008146E3" w:rsidRPr="008146E3">
        <w:rPr>
          <w:rFonts w:ascii="Helvetica" w:hAnsi="Helvetica"/>
          <w:sz w:val="22"/>
          <w:szCs w:val="22"/>
        </w:rPr>
        <w:t>Shaded lines indicate</w:t>
      </w:r>
      <w:r w:rsidR="00050E97" w:rsidRPr="008146E3">
        <w:rPr>
          <w:rFonts w:ascii="Helvetica" w:hAnsi="Helvetica"/>
          <w:sz w:val="22"/>
          <w:szCs w:val="22"/>
        </w:rPr>
        <w:t xml:space="preserve"> that a station </w:t>
      </w:r>
      <w:r w:rsidR="00050E97" w:rsidRPr="008146E3">
        <w:rPr>
          <w:rFonts w:ascii="Helvetica" w:hAnsi="Helvetica"/>
          <w:sz w:val="22"/>
          <w:szCs w:val="22"/>
        </w:rPr>
        <w:lastRenderedPageBreak/>
        <w:t xml:space="preserve">was successfully sampled for a particular year. </w:t>
      </w:r>
      <w:r w:rsidR="0094157F" w:rsidRPr="008146E3">
        <w:rPr>
          <w:rFonts w:ascii="Helvetica" w:eastAsia="Times New Roman" w:hAnsi="Helvetica" w:cs="Times New Roman"/>
          <w:sz w:val="22"/>
          <w:szCs w:val="22"/>
          <w:lang w:val="en-CA"/>
        </w:rPr>
        <w:t xml:space="preserve">The y axis shows the order of appearance of sampling stations, with older sampling stations found near the bottom and the most recent stations near the top. Annotations show major changes in survey sampling design. </w:t>
      </w:r>
    </w:p>
    <w:p w14:paraId="0272817F" w14:textId="77777777" w:rsidR="0062352A" w:rsidRPr="008146E3" w:rsidRDefault="0062352A" w:rsidP="00F94623">
      <w:pPr>
        <w:rPr>
          <w:rFonts w:ascii="Helvetica" w:eastAsia="Times New Roman" w:hAnsi="Helvetica" w:cs="Times New Roman"/>
          <w:sz w:val="22"/>
          <w:szCs w:val="22"/>
          <w:lang w:val="en-CA"/>
        </w:rPr>
      </w:pPr>
    </w:p>
    <w:p w14:paraId="7DDE9769" w14:textId="0C10A074" w:rsidR="00773647" w:rsidRDefault="00773647" w:rsidP="00F94623">
      <w:pPr>
        <w:rPr>
          <w:rFonts w:ascii="Helvetica" w:eastAsia="Times New Roman" w:hAnsi="Helvetica" w:cs="Times New Roman"/>
          <w:sz w:val="21"/>
          <w:szCs w:val="21"/>
          <w:lang w:val="en-CA"/>
        </w:rPr>
      </w:pPr>
      <w:r w:rsidRPr="008146E3">
        <w:rPr>
          <w:rFonts w:ascii="Helvetica" w:eastAsia="Times New Roman" w:hAnsi="Helvetica" w:cs="Times New Roman"/>
          <w:sz w:val="22"/>
          <w:szCs w:val="22"/>
          <w:lang w:val="en-CA"/>
        </w:rPr>
        <w:t xml:space="preserve">From an initial set of stations in 1988, this figure shows that stations were added or redistributed </w:t>
      </w:r>
      <w:r w:rsidR="003E238D">
        <w:rPr>
          <w:rFonts w:ascii="Helvetica" w:eastAsia="Times New Roman" w:hAnsi="Helvetica" w:cs="Times New Roman"/>
          <w:sz w:val="22"/>
          <w:szCs w:val="22"/>
          <w:lang w:val="en-CA"/>
        </w:rPr>
        <w:t xml:space="preserve">over most years </w:t>
      </w:r>
      <w:r w:rsidRPr="008146E3">
        <w:rPr>
          <w:rFonts w:ascii="Helvetica" w:eastAsia="Times New Roman" w:hAnsi="Helvetica" w:cs="Times New Roman"/>
          <w:sz w:val="22"/>
          <w:szCs w:val="22"/>
          <w:lang w:val="en-CA"/>
        </w:rPr>
        <w:t xml:space="preserve">of </w:t>
      </w:r>
      <w:r w:rsidR="003E238D">
        <w:rPr>
          <w:rFonts w:ascii="Helvetica" w:eastAsia="Times New Roman" w:hAnsi="Helvetica" w:cs="Times New Roman"/>
          <w:sz w:val="22"/>
          <w:szCs w:val="22"/>
          <w:lang w:val="en-CA"/>
        </w:rPr>
        <w:t xml:space="preserve">the </w:t>
      </w:r>
      <w:r w:rsidRPr="008146E3">
        <w:rPr>
          <w:rFonts w:ascii="Helvetica" w:eastAsia="Times New Roman" w:hAnsi="Helvetica" w:cs="Times New Roman"/>
          <w:sz w:val="22"/>
          <w:szCs w:val="22"/>
          <w:lang w:val="en-CA"/>
        </w:rPr>
        <w:t>survey. In particula</w:t>
      </w:r>
      <w:r>
        <w:rPr>
          <w:rFonts w:ascii="Helvetica" w:eastAsia="Times New Roman" w:hAnsi="Helvetica" w:cs="Times New Roman"/>
          <w:sz w:val="21"/>
          <w:szCs w:val="21"/>
          <w:lang w:val="en-CA"/>
        </w:rPr>
        <w:t xml:space="preserve">r, new stations were rapidly added in the early part of the survey, which had its greatest </w:t>
      </w:r>
      <w:r w:rsidR="0094157F">
        <w:rPr>
          <w:rFonts w:ascii="Helvetica" w:eastAsia="Times New Roman" w:hAnsi="Helvetica" w:cs="Times New Roman"/>
          <w:sz w:val="21"/>
          <w:szCs w:val="21"/>
          <w:lang w:val="en-CA"/>
        </w:rPr>
        <w:t xml:space="preserve">areal </w:t>
      </w:r>
      <w:r>
        <w:rPr>
          <w:rFonts w:ascii="Helvetica" w:eastAsia="Times New Roman" w:hAnsi="Helvetica" w:cs="Times New Roman"/>
          <w:sz w:val="21"/>
          <w:szCs w:val="21"/>
          <w:lang w:val="en-CA"/>
        </w:rPr>
        <w:t>expansion from 1988 to 1993.</w:t>
      </w:r>
      <w:r w:rsidR="003E238D">
        <w:rPr>
          <w:rFonts w:ascii="Helvetica" w:eastAsia="Times New Roman" w:hAnsi="Helvetica" w:cs="Times New Roman"/>
          <w:sz w:val="21"/>
          <w:szCs w:val="21"/>
          <w:lang w:val="en-CA"/>
        </w:rPr>
        <w:t xml:space="preserve"> O</w:t>
      </w:r>
      <w:r>
        <w:rPr>
          <w:rFonts w:ascii="Helvetica" w:eastAsia="Times New Roman" w:hAnsi="Helvetica" w:cs="Times New Roman"/>
          <w:sz w:val="21"/>
          <w:szCs w:val="21"/>
          <w:lang w:val="en-CA"/>
        </w:rPr>
        <w:t xml:space="preserve">nly a partial survey was conducted in </w:t>
      </w:r>
      <w:r w:rsidR="003E238D">
        <w:rPr>
          <w:rFonts w:ascii="Helvetica" w:eastAsia="Times New Roman" w:hAnsi="Helvetica" w:cs="Times New Roman"/>
          <w:sz w:val="21"/>
          <w:szCs w:val="21"/>
          <w:lang w:val="en-CA"/>
        </w:rPr>
        <w:t>1996 due to lack of funding.</w:t>
      </w:r>
    </w:p>
    <w:p w14:paraId="5F6392C7" w14:textId="77777777" w:rsidR="00773647" w:rsidRDefault="00773647" w:rsidP="00F94623">
      <w:pPr>
        <w:rPr>
          <w:rFonts w:ascii="Helvetica" w:eastAsia="Times New Roman" w:hAnsi="Helvetica" w:cs="Times New Roman"/>
          <w:sz w:val="21"/>
          <w:szCs w:val="21"/>
          <w:lang w:val="en-CA"/>
        </w:rPr>
      </w:pPr>
    </w:p>
    <w:p w14:paraId="0A02C1F9" w14:textId="2D42E681" w:rsidR="00773647" w:rsidRDefault="0077364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The period from 1994 to 2005 saw progressively smaller proportions of stations being re-located, in part due to improvements in geo-location technologies</w:t>
      </w:r>
      <w:r w:rsidR="003E238D">
        <w:rPr>
          <w:rFonts w:ascii="Helvetica" w:eastAsia="Times New Roman" w:hAnsi="Helvetica" w:cs="Times New Roman"/>
          <w:sz w:val="21"/>
          <w:szCs w:val="21"/>
          <w:lang w:val="en-CA"/>
        </w:rPr>
        <w:t xml:space="preserve"> and a general tendency to relocate stations</w:t>
      </w:r>
      <w:r>
        <w:rPr>
          <w:rFonts w:ascii="Helvetica" w:eastAsia="Times New Roman" w:hAnsi="Helvetica" w:cs="Times New Roman"/>
          <w:sz w:val="21"/>
          <w:szCs w:val="21"/>
          <w:lang w:val="en-CA"/>
        </w:rPr>
        <w:t xml:space="preserve"> </w:t>
      </w:r>
      <w:r w:rsidR="003E238D">
        <w:rPr>
          <w:rFonts w:ascii="Helvetica" w:eastAsia="Times New Roman" w:hAnsi="Helvetica" w:cs="Times New Roman"/>
          <w:sz w:val="21"/>
          <w:szCs w:val="21"/>
          <w:lang w:val="en-CA"/>
        </w:rPr>
        <w:t>from difficult trawling areas to areas within its sampling grid more suitable to trawling.</w:t>
      </w:r>
    </w:p>
    <w:p w14:paraId="26D83397" w14:textId="77777777" w:rsidR="00773647" w:rsidRDefault="00773647" w:rsidP="00F94623">
      <w:pPr>
        <w:rPr>
          <w:rFonts w:ascii="Helvetica" w:eastAsia="Times New Roman" w:hAnsi="Helvetica" w:cs="Times New Roman"/>
          <w:sz w:val="21"/>
          <w:szCs w:val="21"/>
          <w:lang w:val="en-CA"/>
        </w:rPr>
      </w:pPr>
    </w:p>
    <w:p w14:paraId="4F40024B" w14:textId="689221C1"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 xml:space="preserve">After a major survey sampling redesign in 2006, </w:t>
      </w:r>
      <w:r w:rsidR="00784618">
        <w:rPr>
          <w:rFonts w:ascii="Helvetica" w:eastAsia="Times New Roman" w:hAnsi="Helvetica" w:cs="Times New Roman"/>
          <w:sz w:val="21"/>
          <w:szCs w:val="21"/>
          <w:lang w:val="en-CA"/>
        </w:rPr>
        <w:t xml:space="preserve">which saw a redistribution of stations in order to have a more uniform spatial distribution over the survey area, </w:t>
      </w:r>
      <w:r>
        <w:rPr>
          <w:rFonts w:ascii="Helvetica" w:eastAsia="Times New Roman" w:hAnsi="Helvetica" w:cs="Times New Roman"/>
          <w:sz w:val="21"/>
          <w:szCs w:val="21"/>
          <w:lang w:val="en-CA"/>
        </w:rPr>
        <w:t>t</w:t>
      </w:r>
      <w:r w:rsidR="00773647">
        <w:rPr>
          <w:rFonts w:ascii="Helvetica" w:eastAsia="Times New Roman" w:hAnsi="Helvetica" w:cs="Times New Roman"/>
          <w:sz w:val="21"/>
          <w:szCs w:val="21"/>
          <w:lang w:val="en-CA"/>
        </w:rPr>
        <w:t>he set of sampling stations remained constant from 2006 to 2011, indicating that the survey crews heavily favoured resampling after a failed tow attempt, rather than relocating at an alternate sampling station.</w:t>
      </w:r>
    </w:p>
    <w:p w14:paraId="65A4DA4D" w14:textId="77777777" w:rsidR="00773647" w:rsidRDefault="00773647" w:rsidP="00F94623">
      <w:pPr>
        <w:rPr>
          <w:rFonts w:ascii="Helvetica" w:eastAsia="Times New Roman" w:hAnsi="Helvetica" w:cs="Times New Roman"/>
          <w:sz w:val="21"/>
          <w:szCs w:val="21"/>
          <w:lang w:val="en-CA"/>
        </w:rPr>
      </w:pPr>
    </w:p>
    <w:p w14:paraId="00579AC3" w14:textId="77777777" w:rsidR="0077364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Following a spatial sampling design was changed in 2012 a completely new set of survey stations were generated. The process was repeated in 2013.</w:t>
      </w:r>
    </w:p>
    <w:p w14:paraId="3BD8D5B3" w14:textId="77777777" w:rsidR="00B355F7" w:rsidRDefault="00B355F7" w:rsidP="00F94623">
      <w:pPr>
        <w:rPr>
          <w:rFonts w:ascii="Helvetica" w:eastAsia="Times New Roman" w:hAnsi="Helvetica" w:cs="Times New Roman"/>
          <w:sz w:val="21"/>
          <w:szCs w:val="21"/>
          <w:lang w:val="en-CA"/>
        </w:rPr>
      </w:pPr>
    </w:p>
    <w:p w14:paraId="088B09FA" w14:textId="77777777" w:rsidR="00B355F7" w:rsidRDefault="00B355F7" w:rsidP="00F94623">
      <w:pPr>
        <w:rPr>
          <w:rFonts w:ascii="Helvetica" w:eastAsia="Times New Roman" w:hAnsi="Helvetica" w:cs="Times New Roman"/>
          <w:sz w:val="21"/>
          <w:szCs w:val="21"/>
          <w:lang w:val="en-CA"/>
        </w:rPr>
      </w:pPr>
      <w:r>
        <w:rPr>
          <w:rFonts w:ascii="Helvetica" w:eastAsia="Times New Roman" w:hAnsi="Helvetica" w:cs="Times New Roman"/>
          <w:sz w:val="21"/>
          <w:szCs w:val="21"/>
          <w:lang w:val="en-CA"/>
        </w:rPr>
        <w:t>From 2013 onward, the survey crew favoured alternate sampling stations, rather than repeating tows after a failed attempt at towing.</w:t>
      </w:r>
    </w:p>
    <w:p w14:paraId="590A646E" w14:textId="77777777" w:rsidR="00B355F7" w:rsidRDefault="00B355F7" w:rsidP="00F94623">
      <w:pPr>
        <w:rPr>
          <w:rFonts w:ascii="Helvetica" w:eastAsia="Times New Roman" w:hAnsi="Helvetica" w:cs="Times New Roman"/>
          <w:sz w:val="21"/>
          <w:szCs w:val="21"/>
          <w:lang w:val="en-CA"/>
        </w:rPr>
      </w:pPr>
    </w:p>
    <w:p w14:paraId="7EBBBB08" w14:textId="77777777" w:rsidR="00B355F7" w:rsidRDefault="0062352A" w:rsidP="00F94623">
      <w:pPr>
        <w:rPr>
          <w:rFonts w:ascii="Helvetica" w:eastAsia="Times New Roman" w:hAnsi="Helvetica" w:cs="Times New Roman"/>
          <w:sz w:val="21"/>
          <w:szCs w:val="21"/>
          <w:lang w:val="en-US"/>
        </w:rPr>
      </w:pPr>
      <w:r w:rsidRPr="0062352A">
        <w:rPr>
          <w:rFonts w:ascii="Helvetica" w:eastAsia="Times New Roman" w:hAnsi="Helvetica" w:cs="Times New Roman"/>
          <w:b/>
          <w:sz w:val="21"/>
          <w:szCs w:val="21"/>
          <w:lang w:val="en-CA"/>
        </w:rPr>
        <w:t>Figure 2</w:t>
      </w:r>
      <w:r w:rsidR="001608BB">
        <w:rPr>
          <w:rFonts w:ascii="Helvetica" w:eastAsia="Times New Roman" w:hAnsi="Helvetica" w:cs="Times New Roman"/>
          <w:sz w:val="21"/>
          <w:szCs w:val="21"/>
          <w:lang w:val="en-CA"/>
        </w:rPr>
        <w:t xml:space="preserve"> shows</w:t>
      </w:r>
      <w:r>
        <w:rPr>
          <w:rFonts w:ascii="Helvetica" w:eastAsia="Times New Roman" w:hAnsi="Helvetica" w:cs="Times New Roman"/>
          <w:sz w:val="21"/>
          <w:szCs w:val="21"/>
          <w:lang w:val="en-CA"/>
        </w:rPr>
        <w:t xml:space="preserve"> t</w:t>
      </w:r>
      <w:r w:rsidR="00B355F7">
        <w:rPr>
          <w:rFonts w:ascii="Helvetica" w:eastAsia="Times New Roman" w:hAnsi="Helvetica" w:cs="Times New Roman"/>
          <w:sz w:val="21"/>
          <w:szCs w:val="21"/>
          <w:lang w:val="en-CA"/>
        </w:rPr>
        <w:t xml:space="preserve">he proportion of failed tows </w:t>
      </w:r>
      <w:r w:rsidR="001608BB">
        <w:rPr>
          <w:rFonts w:ascii="Helvetica" w:eastAsia="Times New Roman" w:hAnsi="Helvetica" w:cs="Times New Roman"/>
          <w:sz w:val="21"/>
          <w:szCs w:val="21"/>
          <w:lang w:val="en-CA"/>
        </w:rPr>
        <w:t>for each survey year. In 2012 and 2013,</w:t>
      </w:r>
      <w:r w:rsidR="00B355F7">
        <w:rPr>
          <w:rFonts w:ascii="Helvetica" w:eastAsia="Times New Roman" w:hAnsi="Helvetica" w:cs="Times New Roman"/>
          <w:sz w:val="21"/>
          <w:szCs w:val="21"/>
          <w:lang w:val="en-CA"/>
        </w:rPr>
        <w:t xml:space="preserve"> </w:t>
      </w:r>
      <w:r w:rsidR="001608BB">
        <w:rPr>
          <w:rFonts w:ascii="Helvetica" w:eastAsia="Times New Roman" w:hAnsi="Helvetica" w:cs="Times New Roman"/>
          <w:sz w:val="21"/>
          <w:szCs w:val="21"/>
          <w:lang w:val="en-US"/>
        </w:rPr>
        <w:t xml:space="preserve">17% </w:t>
      </w:r>
      <w:r w:rsidR="00B355F7">
        <w:rPr>
          <w:rFonts w:ascii="Helvetica" w:eastAsia="Times New Roman" w:hAnsi="Helvetica" w:cs="Times New Roman"/>
          <w:sz w:val="21"/>
          <w:szCs w:val="21"/>
          <w:lang w:val="en-US"/>
        </w:rPr>
        <w:t xml:space="preserve">  and 20% </w:t>
      </w:r>
      <w:r w:rsidR="001608BB">
        <w:rPr>
          <w:rFonts w:ascii="Helvetica" w:eastAsia="Times New Roman" w:hAnsi="Helvetica" w:cs="Times New Roman"/>
          <w:sz w:val="21"/>
          <w:szCs w:val="21"/>
          <w:lang w:val="en-US"/>
        </w:rPr>
        <w:t>of attempted tows failed on the first attempt. Given that the spatial sampling density over the survey area is fairly uniform, these</w:t>
      </w:r>
      <w:r w:rsidR="00B355F7">
        <w:rPr>
          <w:rFonts w:ascii="Helvetica" w:eastAsia="Times New Roman" w:hAnsi="Helvetica" w:cs="Times New Roman"/>
          <w:sz w:val="21"/>
          <w:szCs w:val="21"/>
          <w:lang w:val="en-US"/>
        </w:rPr>
        <w:t xml:space="preserve"> proportion</w:t>
      </w:r>
      <w:r w:rsidR="001608BB">
        <w:rPr>
          <w:rFonts w:ascii="Helvetica" w:eastAsia="Times New Roman" w:hAnsi="Helvetica" w:cs="Times New Roman"/>
          <w:sz w:val="21"/>
          <w:szCs w:val="21"/>
          <w:lang w:val="en-US"/>
        </w:rPr>
        <w:t>s</w:t>
      </w:r>
      <w:r w:rsidR="00B355F7">
        <w:rPr>
          <w:rFonts w:ascii="Helvetica" w:eastAsia="Times New Roman" w:hAnsi="Helvetica" w:cs="Times New Roman"/>
          <w:sz w:val="21"/>
          <w:szCs w:val="21"/>
          <w:lang w:val="en-US"/>
        </w:rPr>
        <w:t xml:space="preserve"> </w:t>
      </w:r>
      <w:r w:rsidR="001608BB">
        <w:rPr>
          <w:rFonts w:ascii="Helvetica" w:eastAsia="Times New Roman" w:hAnsi="Helvetica" w:cs="Times New Roman"/>
          <w:sz w:val="21"/>
          <w:szCs w:val="21"/>
          <w:lang w:val="en-US"/>
        </w:rPr>
        <w:t>also represent the proportion of</w:t>
      </w:r>
      <w:r w:rsidR="00B355F7">
        <w:rPr>
          <w:rFonts w:ascii="Helvetica" w:eastAsia="Times New Roman" w:hAnsi="Helvetica" w:cs="Times New Roman"/>
          <w:sz w:val="21"/>
          <w:szCs w:val="21"/>
          <w:lang w:val="en-US"/>
        </w:rPr>
        <w:t xml:space="preserve"> the current survey area </w:t>
      </w:r>
      <w:r w:rsidR="001608BB">
        <w:rPr>
          <w:rFonts w:ascii="Helvetica" w:eastAsia="Times New Roman" w:hAnsi="Helvetica" w:cs="Times New Roman"/>
          <w:sz w:val="21"/>
          <w:szCs w:val="21"/>
          <w:lang w:val="en-US"/>
        </w:rPr>
        <w:t xml:space="preserve">which </w:t>
      </w:r>
      <w:r w:rsidR="00B355F7">
        <w:rPr>
          <w:rFonts w:ascii="Helvetica" w:eastAsia="Times New Roman" w:hAnsi="Helvetica" w:cs="Times New Roman"/>
          <w:sz w:val="21"/>
          <w:szCs w:val="21"/>
          <w:lang w:val="en-US"/>
        </w:rPr>
        <w:t>is trawlable on the first attempt.</w:t>
      </w:r>
    </w:p>
    <w:p w14:paraId="03031167" w14:textId="77777777" w:rsidR="00B355F7" w:rsidRDefault="00B355F7" w:rsidP="00F94623">
      <w:pPr>
        <w:rPr>
          <w:rFonts w:ascii="Helvetica" w:eastAsia="Times New Roman" w:hAnsi="Helvetica" w:cs="Times New Roman"/>
          <w:sz w:val="21"/>
          <w:szCs w:val="21"/>
          <w:lang w:val="en-US"/>
        </w:rPr>
      </w:pPr>
    </w:p>
    <w:p w14:paraId="27BF5AAF" w14:textId="77777777" w:rsidR="0062352A" w:rsidRDefault="00B355F7" w:rsidP="00F94623">
      <w:pPr>
        <w:rPr>
          <w:rFonts w:ascii="Helvetica" w:eastAsia="Times New Roman" w:hAnsi="Helvetica" w:cs="Times New Roman"/>
          <w:sz w:val="21"/>
          <w:szCs w:val="21"/>
          <w:lang w:val="en-US"/>
        </w:rPr>
      </w:pPr>
      <w:r>
        <w:rPr>
          <w:rFonts w:ascii="Helvetica" w:eastAsia="Times New Roman" w:hAnsi="Helvetica" w:cs="Times New Roman"/>
          <w:sz w:val="21"/>
          <w:szCs w:val="21"/>
          <w:lang w:val="en-US"/>
        </w:rPr>
        <w:t>However, the</w:t>
      </w:r>
      <w:r w:rsidR="001608BB">
        <w:rPr>
          <w:rFonts w:ascii="Helvetica" w:eastAsia="Times New Roman" w:hAnsi="Helvetica" w:cs="Times New Roman"/>
          <w:sz w:val="21"/>
          <w:szCs w:val="21"/>
          <w:lang w:val="en-US"/>
        </w:rPr>
        <w:t xml:space="preserve">se </w:t>
      </w:r>
      <w:r>
        <w:rPr>
          <w:rFonts w:ascii="Helvetica" w:eastAsia="Times New Roman" w:hAnsi="Helvetica" w:cs="Times New Roman"/>
          <w:sz w:val="21"/>
          <w:szCs w:val="21"/>
          <w:lang w:val="en-US"/>
        </w:rPr>
        <w:t>proportion</w:t>
      </w:r>
      <w:r w:rsidR="001608BB">
        <w:rPr>
          <w:rFonts w:ascii="Helvetica" w:eastAsia="Times New Roman" w:hAnsi="Helvetica" w:cs="Times New Roman"/>
          <w:sz w:val="21"/>
          <w:szCs w:val="21"/>
          <w:lang w:val="en-US"/>
        </w:rPr>
        <w:t>s were much higher than in previous years, which were around</w:t>
      </w:r>
      <w:r>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8% </w:t>
      </w:r>
      <w:r w:rsidR="001608BB">
        <w:rPr>
          <w:rFonts w:ascii="Helvetica" w:eastAsia="Times New Roman" w:hAnsi="Helvetica" w:cs="Times New Roman"/>
          <w:sz w:val="21"/>
          <w:szCs w:val="21"/>
          <w:lang w:val="en-US"/>
        </w:rPr>
        <w:t xml:space="preserve">to </w:t>
      </w:r>
      <w:r w:rsidR="0062352A">
        <w:rPr>
          <w:rFonts w:ascii="Helvetica" w:eastAsia="Times New Roman" w:hAnsi="Helvetica" w:cs="Times New Roman"/>
          <w:sz w:val="21"/>
          <w:szCs w:val="21"/>
          <w:lang w:val="en-US"/>
        </w:rPr>
        <w:t>10%</w:t>
      </w:r>
      <w:r w:rsidR="001608BB">
        <w:rPr>
          <w:rFonts w:ascii="Helvetica" w:eastAsia="Times New Roman" w:hAnsi="Helvetica" w:cs="Times New Roman"/>
          <w:sz w:val="21"/>
          <w:szCs w:val="21"/>
          <w:lang w:val="en-US"/>
        </w:rPr>
        <w:t xml:space="preserve"> in 2006 to 2011</w:t>
      </w:r>
      <w:r w:rsidR="0062352A">
        <w:rPr>
          <w:rFonts w:ascii="Helvetica" w:eastAsia="Times New Roman" w:hAnsi="Helvetica" w:cs="Times New Roman"/>
          <w:sz w:val="21"/>
          <w:szCs w:val="21"/>
          <w:lang w:val="en-US"/>
        </w:rPr>
        <w:t xml:space="preserve">. Largely because of this, the trawl stations were held fixed from 2013 onward, with the proportion of failed tows again decreasing as alternate sampling stations replaced </w:t>
      </w:r>
      <w:r w:rsidR="001608BB">
        <w:rPr>
          <w:rFonts w:ascii="Helvetica" w:eastAsia="Times New Roman" w:hAnsi="Helvetica" w:cs="Times New Roman"/>
          <w:sz w:val="21"/>
          <w:szCs w:val="21"/>
          <w:lang w:val="en-US"/>
        </w:rPr>
        <w:t xml:space="preserve">many stations from </w:t>
      </w:r>
      <w:r w:rsidR="0062352A">
        <w:rPr>
          <w:rFonts w:ascii="Helvetica" w:eastAsia="Times New Roman" w:hAnsi="Helvetica" w:cs="Times New Roman"/>
          <w:sz w:val="21"/>
          <w:szCs w:val="21"/>
          <w:lang w:val="en-US"/>
        </w:rPr>
        <w:t xml:space="preserve">the original 2013 </w:t>
      </w:r>
      <w:r w:rsidR="001608BB">
        <w:rPr>
          <w:rFonts w:ascii="Helvetica" w:eastAsia="Times New Roman" w:hAnsi="Helvetica" w:cs="Times New Roman"/>
          <w:sz w:val="21"/>
          <w:szCs w:val="21"/>
          <w:lang w:val="en-US"/>
        </w:rPr>
        <w:t xml:space="preserve">station </w:t>
      </w:r>
      <w:r w:rsidR="0062352A">
        <w:rPr>
          <w:rFonts w:ascii="Helvetica" w:eastAsia="Times New Roman" w:hAnsi="Helvetica" w:cs="Times New Roman"/>
          <w:sz w:val="21"/>
          <w:szCs w:val="21"/>
          <w:lang w:val="en-US"/>
        </w:rPr>
        <w:t>set.</w:t>
      </w:r>
      <w:r w:rsidR="001608BB">
        <w:rPr>
          <w:rFonts w:ascii="Helvetica" w:eastAsia="Times New Roman" w:hAnsi="Helvetica" w:cs="Times New Roman"/>
          <w:sz w:val="21"/>
          <w:szCs w:val="21"/>
          <w:lang w:val="en-US"/>
        </w:rPr>
        <w:t xml:space="preserve"> </w:t>
      </w:r>
      <w:r w:rsidR="0062352A">
        <w:rPr>
          <w:rFonts w:ascii="Helvetica" w:eastAsia="Times New Roman" w:hAnsi="Helvetica" w:cs="Times New Roman"/>
          <w:sz w:val="21"/>
          <w:szCs w:val="21"/>
          <w:lang w:val="en-US"/>
        </w:rPr>
        <w:t xml:space="preserve">Since 2013, about 200 sampling stations </w:t>
      </w:r>
      <w:r w:rsidR="001608BB">
        <w:rPr>
          <w:rFonts w:ascii="Helvetica" w:eastAsia="Times New Roman" w:hAnsi="Helvetica" w:cs="Times New Roman"/>
          <w:sz w:val="21"/>
          <w:szCs w:val="21"/>
          <w:lang w:val="en-US"/>
        </w:rPr>
        <w:t>have been moved, which represent an important proportion of the survey’s 355 stations.</w:t>
      </w:r>
    </w:p>
    <w:p w14:paraId="7306C33D" w14:textId="77777777" w:rsidR="0062352A" w:rsidRDefault="0062352A" w:rsidP="00F94623">
      <w:pPr>
        <w:rPr>
          <w:rFonts w:ascii="Helvetica" w:eastAsia="Times New Roman" w:hAnsi="Helvetica" w:cs="Times New Roman"/>
          <w:sz w:val="21"/>
          <w:szCs w:val="21"/>
          <w:lang w:val="en-US"/>
        </w:rPr>
      </w:pPr>
    </w:p>
    <w:p w14:paraId="657CFFEE" w14:textId="77777777" w:rsidR="00773647" w:rsidRDefault="0062352A" w:rsidP="00F94623">
      <w:pPr>
        <w:rPr>
          <w:rFonts w:ascii="Helvetica" w:eastAsia="Times New Roman" w:hAnsi="Helvetica" w:cs="Times New Roman"/>
          <w:sz w:val="21"/>
          <w:szCs w:val="21"/>
          <w:lang w:val="en-CA"/>
        </w:rPr>
      </w:pPr>
      <w:r w:rsidRPr="0062352A">
        <w:rPr>
          <w:rFonts w:ascii="Helvetica" w:eastAsia="Times New Roman" w:hAnsi="Helvetica" w:cs="Times New Roman"/>
          <w:b/>
          <w:sz w:val="21"/>
          <w:szCs w:val="21"/>
          <w:lang w:val="en-CA"/>
        </w:rPr>
        <w:t>Figure 3</w:t>
      </w:r>
      <w:r>
        <w:rPr>
          <w:rFonts w:ascii="Helvetica" w:eastAsia="Times New Roman" w:hAnsi="Helvetica" w:cs="Times New Roman"/>
          <w:sz w:val="21"/>
          <w:szCs w:val="21"/>
          <w:lang w:val="en-CA"/>
        </w:rPr>
        <w:t xml:space="preserve"> shows where the relocations have occurred, indicating that problematic areas lie mostly between Prince Edward Island and the Magdalen Islands and along the Laurentian Channel.</w:t>
      </w:r>
    </w:p>
    <w:p w14:paraId="513FC744" w14:textId="77777777" w:rsidR="00B401BC" w:rsidRDefault="00B401BC" w:rsidP="00F94623">
      <w:pPr>
        <w:rPr>
          <w:rFonts w:ascii="Helvetica" w:eastAsia="Times New Roman" w:hAnsi="Helvetica" w:cs="Times New Roman"/>
          <w:sz w:val="21"/>
          <w:szCs w:val="21"/>
          <w:lang w:val="en-CA"/>
        </w:rPr>
      </w:pPr>
    </w:p>
    <w:p w14:paraId="384B038C" w14:textId="77777777" w:rsidR="00B355F7" w:rsidRDefault="00B355F7" w:rsidP="0063493F">
      <w:pPr>
        <w:jc w:val="cente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56F1FEDB" wp14:editId="29384024">
            <wp:extent cx="4037009" cy="3598223"/>
            <wp:effectExtent l="0" t="0" r="1905" b="2540"/>
            <wp:docPr id="6" name="Picture 6" descr="Macintosh HD:Users:crustacean:Desktop:Stock-Assessment-2020:results:figures:Proportion Successful To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rustacean:Desktop:Stock-Assessment-2020:results:figures:Proportion Successful Tows.jpg"/>
                    <pic:cNvPicPr>
                      <a:picLocks noChangeAspect="1" noChangeArrowheads="1"/>
                    </pic:cNvPicPr>
                  </pic:nvPicPr>
                  <pic:blipFill rotWithShape="1">
                    <a:blip r:embed="rId6">
                      <a:extLst>
                        <a:ext uri="{28A0092B-C50C-407E-A947-70E740481C1C}">
                          <a14:useLocalDpi xmlns:a14="http://schemas.microsoft.com/office/drawing/2010/main" val="0"/>
                        </a:ext>
                      </a:extLst>
                    </a:blip>
                    <a:srcRect t="7354" b="3516"/>
                    <a:stretch/>
                  </pic:blipFill>
                  <pic:spPr bwMode="auto">
                    <a:xfrm>
                      <a:off x="0" y="0"/>
                      <a:ext cx="4038854" cy="3599867"/>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30D3EAF3" w14:textId="3A9CB52A" w:rsidR="00B355F7" w:rsidRDefault="00B355F7" w:rsidP="00F94623">
      <w:pPr>
        <w:rPr>
          <w:rFonts w:ascii="Helvetica" w:eastAsia="Times New Roman" w:hAnsi="Helvetica" w:cs="Times New Roman"/>
          <w:sz w:val="21"/>
          <w:szCs w:val="21"/>
          <w:lang w:val="en-CA"/>
        </w:rPr>
      </w:pPr>
      <w:r w:rsidRPr="006C34EC">
        <w:rPr>
          <w:rFonts w:ascii="Helvetica" w:eastAsia="Times New Roman" w:hAnsi="Helvetica" w:cs="Times New Roman"/>
          <w:b/>
          <w:sz w:val="21"/>
          <w:szCs w:val="21"/>
          <w:lang w:val="en-CA"/>
        </w:rPr>
        <w:t>Figure 2</w:t>
      </w:r>
      <w:r>
        <w:rPr>
          <w:rFonts w:ascii="Helvetica" w:eastAsia="Times New Roman" w:hAnsi="Helvetica" w:cs="Times New Roman"/>
          <w:sz w:val="21"/>
          <w:szCs w:val="21"/>
          <w:lang w:val="en-CA"/>
        </w:rPr>
        <w:t xml:space="preserve">: </w:t>
      </w:r>
      <w:r w:rsidR="006C34EC">
        <w:rPr>
          <w:rFonts w:ascii="Helvetica" w:eastAsia="Times New Roman" w:hAnsi="Helvetica" w:cs="Times New Roman"/>
          <w:sz w:val="21"/>
          <w:szCs w:val="21"/>
          <w:lang w:val="en-CA"/>
        </w:rPr>
        <w:t>Proportion of tows rejected on the first attempt during the 2007 to 2019 snow crab surveys.</w:t>
      </w:r>
    </w:p>
    <w:p w14:paraId="4CE944FE" w14:textId="2F53D9F4" w:rsidR="00B355F7" w:rsidRDefault="00B355F7" w:rsidP="00F94623">
      <w:pPr>
        <w:rPr>
          <w:rFonts w:ascii="Helvetica" w:eastAsia="Times New Roman" w:hAnsi="Helvetica" w:cs="Times New Roman"/>
          <w:sz w:val="21"/>
          <w:szCs w:val="21"/>
          <w:lang w:val="en-CA"/>
        </w:rPr>
      </w:pPr>
    </w:p>
    <w:p w14:paraId="62028C11" w14:textId="77777777" w:rsidR="00F94623" w:rsidRDefault="00B401BC" w:rsidP="00F94623">
      <w:pPr>
        <w:rPr>
          <w:rFonts w:ascii="Helvetica" w:eastAsia="Times New Roman" w:hAnsi="Helvetica" w:cs="Times New Roman"/>
          <w:sz w:val="21"/>
          <w:szCs w:val="21"/>
          <w:lang w:val="en-CA"/>
        </w:rPr>
      </w:pPr>
      <w:r>
        <w:rPr>
          <w:rFonts w:ascii="Helvetica" w:eastAsia="Times New Roman" w:hAnsi="Helvetica" w:cs="Times New Roman"/>
          <w:noProof/>
          <w:sz w:val="21"/>
          <w:szCs w:val="21"/>
          <w:lang w:val="en-CA" w:eastAsia="en-CA"/>
        </w:rPr>
        <w:lastRenderedPageBreak/>
        <w:drawing>
          <wp:inline distT="0" distB="0" distL="0" distR="0" wp14:anchorId="1DAD500D" wp14:editId="3F8D55C5">
            <wp:extent cx="5486223" cy="4643252"/>
            <wp:effectExtent l="0" t="0" r="635" b="5080"/>
            <wp:docPr id="3" name="Picture 3" descr="Macintosh HD:Users:crustacean:Desktop:Stock-Assessment-2020:results:figures:Map of tow su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rustacean:Desktop:Stock-Assessment-2020:results:figures:Map of tow success.jpg"/>
                    <pic:cNvPicPr>
                      <a:picLocks noChangeAspect="1" noChangeArrowheads="1"/>
                    </pic:cNvPicPr>
                  </pic:nvPicPr>
                  <pic:blipFill rotWithShape="1">
                    <a:blip r:embed="rId7">
                      <a:extLst>
                        <a:ext uri="{28A0092B-C50C-407E-A947-70E740481C1C}">
                          <a14:useLocalDpi xmlns:a14="http://schemas.microsoft.com/office/drawing/2010/main" val="0"/>
                        </a:ext>
                      </a:extLst>
                    </a:blip>
                    <a:srcRect t="6709" b="8656"/>
                    <a:stretch/>
                  </pic:blipFill>
                  <pic:spPr bwMode="auto">
                    <a:xfrm>
                      <a:off x="0" y="0"/>
                      <a:ext cx="5486400" cy="464340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16C45726" w14:textId="0ABAC824" w:rsidR="00F94623" w:rsidRDefault="0033025C" w:rsidP="00B355F7">
      <w:r w:rsidRPr="006C34EC">
        <w:rPr>
          <w:b/>
        </w:rPr>
        <w:t>Figure 3</w:t>
      </w:r>
      <w:r>
        <w:t>:</w:t>
      </w:r>
      <w:r w:rsidR="00383460">
        <w:t xml:space="preserve"> Locations of successful (black) and rejected (red) tows in the 2000 to 2019 snow crab surveys.</w:t>
      </w:r>
      <w:r w:rsidR="006C34EC">
        <w:t xml:space="preserve"> </w:t>
      </w:r>
    </w:p>
    <w:p w14:paraId="631541D3" w14:textId="19721D5E" w:rsidR="00654506" w:rsidRDefault="00654506" w:rsidP="00B355F7"/>
    <w:p w14:paraId="4A3BFB5C" w14:textId="77777777" w:rsidR="00050E97" w:rsidRDefault="00050E97" w:rsidP="0063493F">
      <w:pPr>
        <w:jc w:val="center"/>
        <w:rPr>
          <w:b/>
          <w:noProof/>
          <w:lang w:eastAsia="en-CA"/>
        </w:rPr>
      </w:pPr>
      <w:r>
        <w:rPr>
          <w:b/>
          <w:noProof/>
          <w:lang w:val="en-CA" w:eastAsia="en-CA"/>
        </w:rPr>
        <w:lastRenderedPageBreak/>
        <w:drawing>
          <wp:inline distT="0" distB="0" distL="0" distR="0" wp14:anchorId="3C1B6002" wp14:editId="17555E3A">
            <wp:extent cx="4900222" cy="41207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 of relocated stations.jpg"/>
                    <pic:cNvPicPr/>
                  </pic:nvPicPr>
                  <pic:blipFill rotWithShape="1">
                    <a:blip r:embed="rId8" cstate="print">
                      <a:extLst>
                        <a:ext uri="{28A0092B-C50C-407E-A947-70E740481C1C}">
                          <a14:useLocalDpi xmlns:a14="http://schemas.microsoft.com/office/drawing/2010/main" val="0"/>
                        </a:ext>
                      </a:extLst>
                    </a:blip>
                    <a:srcRect t="6294" b="9614"/>
                    <a:stretch/>
                  </pic:blipFill>
                  <pic:spPr bwMode="auto">
                    <a:xfrm>
                      <a:off x="0" y="0"/>
                      <a:ext cx="4906037" cy="4125628"/>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7A26C332" w14:textId="77777777" w:rsidR="00050E97" w:rsidRDefault="00050E97" w:rsidP="00050E97">
      <w:pPr>
        <w:rPr>
          <w:noProof/>
          <w:lang w:eastAsia="en-CA"/>
        </w:rPr>
      </w:pPr>
      <w:r>
        <w:rPr>
          <w:b/>
          <w:noProof/>
          <w:lang w:eastAsia="en-CA"/>
        </w:rPr>
        <w:t xml:space="preserve">Figure 4 : </w:t>
      </w:r>
      <w:r w:rsidRPr="009F09D9">
        <w:rPr>
          <w:noProof/>
          <w:lang w:eastAsia="en-CA"/>
        </w:rPr>
        <w:t xml:space="preserve">Map of survey sampling grids and the </w:t>
      </w:r>
      <w:r>
        <w:rPr>
          <w:noProof/>
          <w:lang w:eastAsia="en-CA"/>
        </w:rPr>
        <w:t xml:space="preserve">total </w:t>
      </w:r>
      <w:r w:rsidRPr="009F09D9">
        <w:rPr>
          <w:noProof/>
          <w:lang w:eastAsia="en-CA"/>
        </w:rPr>
        <w:t xml:space="preserve">number of sampling station relocations which have occurred </w:t>
      </w:r>
      <w:r>
        <w:rPr>
          <w:noProof/>
          <w:lang w:eastAsia="en-CA"/>
        </w:rPr>
        <w:t xml:space="preserve">within them </w:t>
      </w:r>
      <w:r w:rsidRPr="009F09D9">
        <w:rPr>
          <w:noProof/>
          <w:lang w:eastAsia="en-CA"/>
        </w:rPr>
        <w:t>over survey years 2013-2019.</w:t>
      </w:r>
      <w:r>
        <w:rPr>
          <w:noProof/>
          <w:lang w:eastAsia="en-CA"/>
        </w:rPr>
        <w:t xml:space="preserve"> </w:t>
      </w:r>
    </w:p>
    <w:p w14:paraId="49DD4F67" w14:textId="23EB7E4F" w:rsidR="00050E97" w:rsidRDefault="00050E97" w:rsidP="00B355F7"/>
    <w:p w14:paraId="050987B4" w14:textId="134B00CF" w:rsidR="00F72024" w:rsidRDefault="00F72024" w:rsidP="00B355F7">
      <w:pPr>
        <w:rPr>
          <w:b/>
        </w:rPr>
      </w:pPr>
      <w:r>
        <w:rPr>
          <w:b/>
        </w:rPr>
        <w:t>Methodology:</w:t>
      </w:r>
    </w:p>
    <w:p w14:paraId="3F6ACE1B" w14:textId="7F71B187" w:rsidR="00F72024" w:rsidRDefault="00F72024" w:rsidP="00B355F7">
      <w:pPr>
        <w:rPr>
          <w:b/>
        </w:rPr>
      </w:pPr>
    </w:p>
    <w:p w14:paraId="47B4926F" w14:textId="0581F901" w:rsidR="00F72024" w:rsidRPr="00F72024" w:rsidRDefault="00F72024" w:rsidP="00F72024">
      <w:pPr>
        <w:pStyle w:val="ListParagraph"/>
        <w:numPr>
          <w:ilvl w:val="0"/>
          <w:numId w:val="3"/>
        </w:numPr>
      </w:pPr>
      <w:r w:rsidRPr="00F72024">
        <w:t>Comparing different years</w:t>
      </w:r>
    </w:p>
    <w:p w14:paraId="114B7C93" w14:textId="77777777" w:rsidR="00F72024" w:rsidRDefault="00F72024" w:rsidP="00B355F7">
      <w:pPr>
        <w:rPr>
          <w:b/>
        </w:rPr>
      </w:pPr>
    </w:p>
    <w:p w14:paraId="1C596D7A" w14:textId="59A7B159" w:rsidR="0063493F" w:rsidRPr="0063493F" w:rsidRDefault="0063493F" w:rsidP="00B355F7">
      <w:pPr>
        <w:rPr>
          <w:b/>
        </w:rPr>
      </w:pPr>
      <w:r w:rsidRPr="0063493F">
        <w:rPr>
          <w:b/>
        </w:rPr>
        <w:t>Darrell Mullowney Comments (RAP, 2019)</w:t>
      </w:r>
    </w:p>
    <w:p w14:paraId="3964A8C8" w14:textId="77777777" w:rsidR="0063493F" w:rsidRDefault="0063493F" w:rsidP="00B355F7"/>
    <w:p w14:paraId="46C26456" w14:textId="77BF4A3B" w:rsidR="0063493F" w:rsidRDefault="0063493F" w:rsidP="0063493F">
      <w:pPr>
        <w:rPr>
          <w:u w:val="single"/>
        </w:rPr>
      </w:pPr>
      <w:r>
        <w:rPr>
          <w:u w:val="single"/>
        </w:rPr>
        <w:t xml:space="preserve">Major </w:t>
      </w:r>
      <w:r w:rsidRPr="001474C2">
        <w:rPr>
          <w:u w:val="single"/>
        </w:rPr>
        <w:t>Concern of Increasing survey</w:t>
      </w:r>
      <w:r>
        <w:rPr>
          <w:u w:val="single"/>
        </w:rPr>
        <w:t xml:space="preserve"> catchability</w:t>
      </w:r>
      <w:r w:rsidRPr="001474C2">
        <w:rPr>
          <w:u w:val="single"/>
        </w:rPr>
        <w:t xml:space="preserve"> </w:t>
      </w:r>
      <w:r>
        <w:rPr>
          <w:u w:val="single"/>
        </w:rPr>
        <w:t>(</w:t>
      </w:r>
      <w:r w:rsidRPr="001474C2">
        <w:rPr>
          <w:u w:val="single"/>
        </w:rPr>
        <w:t>q</w:t>
      </w:r>
      <w:r>
        <w:rPr>
          <w:u w:val="single"/>
        </w:rPr>
        <w:t>)</w:t>
      </w:r>
      <w:r w:rsidRPr="001474C2">
        <w:rPr>
          <w:u w:val="single"/>
        </w:rPr>
        <w:t xml:space="preserve"> over the time series, particularly in recent years.</w:t>
      </w:r>
    </w:p>
    <w:p w14:paraId="2D9236FA" w14:textId="475548D3" w:rsidR="00033CC3" w:rsidRDefault="00033CC3" w:rsidP="0063493F">
      <w:pPr>
        <w:rPr>
          <w:u w:val="single"/>
        </w:rPr>
      </w:pPr>
    </w:p>
    <w:p w14:paraId="2A900339" w14:textId="718664CC" w:rsidR="0063493F" w:rsidRDefault="0063493F" w:rsidP="0063493F">
      <w:pPr>
        <w:pStyle w:val="ListParagraph"/>
        <w:numPr>
          <w:ilvl w:val="0"/>
          <w:numId w:val="2"/>
        </w:numPr>
        <w:spacing w:after="160" w:line="259" w:lineRule="auto"/>
      </w:pPr>
      <w:r>
        <w:t>This concern extends beyond the 2019 extended tow length issue.</w:t>
      </w:r>
    </w:p>
    <w:p w14:paraId="677E61FB" w14:textId="77777777" w:rsidR="00F72024" w:rsidRPr="00F72024" w:rsidRDefault="00F72024" w:rsidP="00F72024">
      <w:pPr>
        <w:pStyle w:val="ListParagraph"/>
        <w:numPr>
          <w:ilvl w:val="1"/>
          <w:numId w:val="2"/>
        </w:numPr>
        <w:rPr>
          <w:rFonts w:ascii="Cambria" w:eastAsia="Times New Roman" w:hAnsi="Cambria" w:cs="Times New Roman"/>
          <w:lang w:val="en-CA"/>
        </w:rPr>
      </w:pPr>
      <w:r w:rsidRPr="00F72024">
        <w:rPr>
          <w:rFonts w:ascii="Helvetica" w:eastAsia="Times New Roman" w:hAnsi="Helvetica" w:cs="Times New Roman"/>
          <w:b/>
          <w:bCs/>
          <w:sz w:val="20"/>
          <w:szCs w:val="20"/>
          <w:lang w:val="en-CA"/>
        </w:rPr>
        <w:t xml:space="preserve">Table : </w:t>
      </w:r>
      <w:r w:rsidRPr="00F72024">
        <w:rPr>
          <w:rFonts w:ascii="Helvetica" w:eastAsia="Times New Roman" w:hAnsi="Helvetica" w:cs="Times New Roman"/>
          <w:sz w:val="20"/>
          <w:szCs w:val="20"/>
          <w:lang w:val="en-CA"/>
        </w:rPr>
        <w:t>Number of survey grids, out of a total of 355, having had a specified number of survey stations moved since 2013.</w:t>
      </w:r>
    </w:p>
    <w:tbl>
      <w:tblPr>
        <w:tblpPr w:leftFromText="180" w:rightFromText="180" w:vertAnchor="text" w:horzAnchor="margin" w:tblpXSpec="center" w:tblpY="207"/>
        <w:tblW w:w="7109" w:type="dxa"/>
        <w:tblLayout w:type="fixed"/>
        <w:tblLook w:val="04A0" w:firstRow="1" w:lastRow="0" w:firstColumn="1" w:lastColumn="0" w:noHBand="0" w:noVBand="1"/>
      </w:tblPr>
      <w:tblGrid>
        <w:gridCol w:w="1184"/>
        <w:gridCol w:w="1185"/>
        <w:gridCol w:w="1185"/>
        <w:gridCol w:w="1185"/>
        <w:gridCol w:w="1185"/>
        <w:gridCol w:w="1185"/>
      </w:tblGrid>
      <w:tr w:rsidR="00F72024" w:rsidRPr="0043701B" w14:paraId="6A29E73B" w14:textId="77777777" w:rsidTr="00F72024">
        <w:trPr>
          <w:trHeight w:val="300"/>
        </w:trPr>
        <w:tc>
          <w:tcPr>
            <w:tcW w:w="1184" w:type="dxa"/>
            <w:tcBorders>
              <w:top w:val="nil"/>
              <w:left w:val="nil"/>
              <w:bottom w:val="nil"/>
              <w:right w:val="nil"/>
            </w:tcBorders>
            <w:shd w:val="clear" w:color="auto" w:fill="auto"/>
            <w:noWrap/>
            <w:vAlign w:val="bottom"/>
            <w:hideMark/>
          </w:tcPr>
          <w:p w14:paraId="78516DB1"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Year</w:t>
            </w:r>
          </w:p>
        </w:tc>
        <w:tc>
          <w:tcPr>
            <w:tcW w:w="1185" w:type="dxa"/>
            <w:tcBorders>
              <w:top w:val="nil"/>
              <w:left w:val="nil"/>
              <w:bottom w:val="nil"/>
              <w:right w:val="nil"/>
            </w:tcBorders>
            <w:shd w:val="clear" w:color="auto" w:fill="auto"/>
            <w:noWrap/>
            <w:vAlign w:val="bottom"/>
            <w:hideMark/>
          </w:tcPr>
          <w:p w14:paraId="66EA1D8E"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0</w:t>
            </w:r>
          </w:p>
        </w:tc>
        <w:tc>
          <w:tcPr>
            <w:tcW w:w="1185" w:type="dxa"/>
            <w:tcBorders>
              <w:top w:val="nil"/>
              <w:left w:val="nil"/>
              <w:bottom w:val="nil"/>
              <w:right w:val="nil"/>
            </w:tcBorders>
            <w:shd w:val="clear" w:color="auto" w:fill="auto"/>
            <w:noWrap/>
            <w:vAlign w:val="bottom"/>
            <w:hideMark/>
          </w:tcPr>
          <w:p w14:paraId="3E7CACF9"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1</w:t>
            </w:r>
          </w:p>
        </w:tc>
        <w:tc>
          <w:tcPr>
            <w:tcW w:w="1185" w:type="dxa"/>
            <w:tcBorders>
              <w:top w:val="nil"/>
              <w:left w:val="nil"/>
              <w:bottom w:val="nil"/>
              <w:right w:val="nil"/>
            </w:tcBorders>
            <w:shd w:val="clear" w:color="auto" w:fill="auto"/>
            <w:noWrap/>
            <w:vAlign w:val="bottom"/>
            <w:hideMark/>
          </w:tcPr>
          <w:p w14:paraId="5004A4DF"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2</w:t>
            </w:r>
          </w:p>
        </w:tc>
        <w:tc>
          <w:tcPr>
            <w:tcW w:w="1185" w:type="dxa"/>
            <w:tcBorders>
              <w:top w:val="nil"/>
              <w:left w:val="nil"/>
              <w:bottom w:val="nil"/>
              <w:right w:val="nil"/>
            </w:tcBorders>
            <w:shd w:val="clear" w:color="auto" w:fill="auto"/>
            <w:noWrap/>
            <w:vAlign w:val="bottom"/>
            <w:hideMark/>
          </w:tcPr>
          <w:p w14:paraId="5D35E5BD"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3</w:t>
            </w:r>
          </w:p>
        </w:tc>
        <w:tc>
          <w:tcPr>
            <w:tcW w:w="1185" w:type="dxa"/>
            <w:tcBorders>
              <w:top w:val="nil"/>
              <w:left w:val="nil"/>
              <w:bottom w:val="nil"/>
              <w:right w:val="nil"/>
            </w:tcBorders>
            <w:shd w:val="clear" w:color="auto" w:fill="auto"/>
            <w:noWrap/>
            <w:vAlign w:val="bottom"/>
            <w:hideMark/>
          </w:tcPr>
          <w:p w14:paraId="77BB5E9F" w14:textId="77777777" w:rsidR="00F72024" w:rsidRPr="0043701B" w:rsidRDefault="00F72024" w:rsidP="00F72024">
            <w:pPr>
              <w:jc w:val="center"/>
              <w:rPr>
                <w:rFonts w:ascii="Calibri" w:eastAsia="Times New Roman" w:hAnsi="Calibri" w:cs="Times New Roman"/>
                <w:b/>
                <w:bCs/>
                <w:color w:val="000000"/>
                <w:lang w:val="en-CA"/>
              </w:rPr>
            </w:pPr>
            <w:r w:rsidRPr="0043701B">
              <w:rPr>
                <w:rFonts w:ascii="Calibri" w:eastAsia="Times New Roman" w:hAnsi="Calibri" w:cs="Times New Roman"/>
                <w:b/>
                <w:bCs/>
                <w:color w:val="000000"/>
                <w:lang w:val="en-CA"/>
              </w:rPr>
              <w:t>4+</w:t>
            </w:r>
          </w:p>
        </w:tc>
      </w:tr>
      <w:tr w:rsidR="00F72024" w:rsidRPr="0043701B" w14:paraId="3BCAC90C" w14:textId="77777777" w:rsidTr="00F72024">
        <w:trPr>
          <w:trHeight w:val="300"/>
        </w:trPr>
        <w:tc>
          <w:tcPr>
            <w:tcW w:w="1184" w:type="dxa"/>
            <w:tcBorders>
              <w:top w:val="nil"/>
              <w:left w:val="nil"/>
              <w:bottom w:val="nil"/>
              <w:right w:val="nil"/>
            </w:tcBorders>
            <w:shd w:val="clear" w:color="auto" w:fill="auto"/>
            <w:noWrap/>
            <w:vAlign w:val="bottom"/>
            <w:hideMark/>
          </w:tcPr>
          <w:p w14:paraId="6498AAC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2013</w:t>
            </w:r>
          </w:p>
        </w:tc>
        <w:tc>
          <w:tcPr>
            <w:tcW w:w="1185" w:type="dxa"/>
            <w:tcBorders>
              <w:top w:val="nil"/>
              <w:left w:val="nil"/>
              <w:bottom w:val="nil"/>
              <w:right w:val="nil"/>
            </w:tcBorders>
            <w:shd w:val="clear" w:color="auto" w:fill="auto"/>
            <w:noWrap/>
            <w:vAlign w:val="bottom"/>
            <w:hideMark/>
          </w:tcPr>
          <w:p w14:paraId="4FDDA20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288</w:t>
            </w:r>
          </w:p>
        </w:tc>
        <w:tc>
          <w:tcPr>
            <w:tcW w:w="1185" w:type="dxa"/>
            <w:tcBorders>
              <w:top w:val="nil"/>
              <w:left w:val="nil"/>
              <w:bottom w:val="nil"/>
              <w:right w:val="nil"/>
            </w:tcBorders>
            <w:shd w:val="clear" w:color="auto" w:fill="auto"/>
            <w:noWrap/>
            <w:vAlign w:val="bottom"/>
            <w:hideMark/>
          </w:tcPr>
          <w:p w14:paraId="049D2CA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57</w:t>
            </w:r>
          </w:p>
        </w:tc>
        <w:tc>
          <w:tcPr>
            <w:tcW w:w="1185" w:type="dxa"/>
            <w:tcBorders>
              <w:top w:val="nil"/>
              <w:left w:val="nil"/>
              <w:bottom w:val="nil"/>
              <w:right w:val="nil"/>
            </w:tcBorders>
            <w:shd w:val="clear" w:color="auto" w:fill="auto"/>
            <w:noWrap/>
            <w:vAlign w:val="bottom"/>
            <w:hideMark/>
          </w:tcPr>
          <w:p w14:paraId="1CC5C04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9</w:t>
            </w:r>
          </w:p>
        </w:tc>
        <w:tc>
          <w:tcPr>
            <w:tcW w:w="1185" w:type="dxa"/>
            <w:tcBorders>
              <w:top w:val="nil"/>
              <w:left w:val="nil"/>
              <w:bottom w:val="nil"/>
              <w:right w:val="nil"/>
            </w:tcBorders>
            <w:shd w:val="clear" w:color="auto" w:fill="auto"/>
            <w:noWrap/>
            <w:vAlign w:val="bottom"/>
            <w:hideMark/>
          </w:tcPr>
          <w:p w14:paraId="696F436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w:t>
            </w:r>
          </w:p>
        </w:tc>
        <w:tc>
          <w:tcPr>
            <w:tcW w:w="1185" w:type="dxa"/>
            <w:tcBorders>
              <w:top w:val="nil"/>
              <w:left w:val="nil"/>
              <w:bottom w:val="nil"/>
              <w:right w:val="nil"/>
            </w:tcBorders>
            <w:shd w:val="clear" w:color="auto" w:fill="auto"/>
            <w:noWrap/>
            <w:vAlign w:val="bottom"/>
            <w:hideMark/>
          </w:tcPr>
          <w:p w14:paraId="6C7ABDA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F72024" w:rsidRPr="0043701B" w14:paraId="013FD0C2" w14:textId="77777777" w:rsidTr="00F72024">
        <w:trPr>
          <w:trHeight w:val="300"/>
        </w:trPr>
        <w:tc>
          <w:tcPr>
            <w:tcW w:w="1184" w:type="dxa"/>
            <w:tcBorders>
              <w:top w:val="nil"/>
              <w:left w:val="nil"/>
              <w:bottom w:val="nil"/>
              <w:right w:val="nil"/>
            </w:tcBorders>
            <w:shd w:val="clear" w:color="auto" w:fill="auto"/>
            <w:noWrap/>
            <w:vAlign w:val="bottom"/>
            <w:hideMark/>
          </w:tcPr>
          <w:p w14:paraId="6D8FA44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2014</w:t>
            </w:r>
          </w:p>
        </w:tc>
        <w:tc>
          <w:tcPr>
            <w:tcW w:w="1185" w:type="dxa"/>
            <w:tcBorders>
              <w:top w:val="nil"/>
              <w:left w:val="nil"/>
              <w:bottom w:val="nil"/>
              <w:right w:val="nil"/>
            </w:tcBorders>
            <w:shd w:val="clear" w:color="auto" w:fill="auto"/>
            <w:noWrap/>
            <w:vAlign w:val="bottom"/>
            <w:hideMark/>
          </w:tcPr>
          <w:p w14:paraId="3A9F2119"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261</w:t>
            </w:r>
          </w:p>
        </w:tc>
        <w:tc>
          <w:tcPr>
            <w:tcW w:w="1185" w:type="dxa"/>
            <w:tcBorders>
              <w:top w:val="nil"/>
              <w:left w:val="nil"/>
              <w:bottom w:val="nil"/>
              <w:right w:val="nil"/>
            </w:tcBorders>
            <w:shd w:val="clear" w:color="auto" w:fill="auto"/>
            <w:noWrap/>
            <w:vAlign w:val="bottom"/>
            <w:hideMark/>
          </w:tcPr>
          <w:p w14:paraId="05C5912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75</w:t>
            </w:r>
          </w:p>
        </w:tc>
        <w:tc>
          <w:tcPr>
            <w:tcW w:w="1185" w:type="dxa"/>
            <w:tcBorders>
              <w:top w:val="nil"/>
              <w:left w:val="nil"/>
              <w:bottom w:val="nil"/>
              <w:right w:val="nil"/>
            </w:tcBorders>
            <w:shd w:val="clear" w:color="auto" w:fill="auto"/>
            <w:noWrap/>
            <w:vAlign w:val="bottom"/>
            <w:hideMark/>
          </w:tcPr>
          <w:p w14:paraId="075D58B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13</w:t>
            </w:r>
          </w:p>
        </w:tc>
        <w:tc>
          <w:tcPr>
            <w:tcW w:w="1185" w:type="dxa"/>
            <w:tcBorders>
              <w:top w:val="nil"/>
              <w:left w:val="nil"/>
              <w:bottom w:val="nil"/>
              <w:right w:val="nil"/>
            </w:tcBorders>
            <w:shd w:val="clear" w:color="auto" w:fill="auto"/>
            <w:noWrap/>
            <w:vAlign w:val="bottom"/>
            <w:hideMark/>
          </w:tcPr>
          <w:p w14:paraId="2320062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6</w:t>
            </w:r>
          </w:p>
        </w:tc>
        <w:tc>
          <w:tcPr>
            <w:tcW w:w="1185" w:type="dxa"/>
            <w:tcBorders>
              <w:top w:val="nil"/>
              <w:left w:val="nil"/>
              <w:bottom w:val="nil"/>
              <w:right w:val="nil"/>
            </w:tcBorders>
            <w:shd w:val="clear" w:color="auto" w:fill="auto"/>
            <w:noWrap/>
            <w:vAlign w:val="bottom"/>
            <w:hideMark/>
          </w:tcPr>
          <w:p w14:paraId="1E997C3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0</w:t>
            </w:r>
          </w:p>
        </w:tc>
      </w:tr>
      <w:tr w:rsidR="00F72024" w:rsidRPr="0043701B" w14:paraId="6F963965" w14:textId="77777777" w:rsidTr="00F72024">
        <w:trPr>
          <w:trHeight w:val="300"/>
        </w:trPr>
        <w:tc>
          <w:tcPr>
            <w:tcW w:w="1184" w:type="dxa"/>
            <w:tcBorders>
              <w:top w:val="nil"/>
              <w:left w:val="nil"/>
              <w:bottom w:val="nil"/>
              <w:right w:val="nil"/>
            </w:tcBorders>
            <w:shd w:val="clear" w:color="auto" w:fill="auto"/>
            <w:noWrap/>
            <w:vAlign w:val="bottom"/>
            <w:hideMark/>
          </w:tcPr>
          <w:p w14:paraId="0838567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2015</w:t>
            </w:r>
          </w:p>
        </w:tc>
        <w:tc>
          <w:tcPr>
            <w:tcW w:w="1185" w:type="dxa"/>
            <w:tcBorders>
              <w:top w:val="nil"/>
              <w:left w:val="nil"/>
              <w:bottom w:val="nil"/>
              <w:right w:val="nil"/>
            </w:tcBorders>
            <w:shd w:val="clear" w:color="auto" w:fill="auto"/>
            <w:noWrap/>
            <w:vAlign w:val="bottom"/>
            <w:hideMark/>
          </w:tcPr>
          <w:p w14:paraId="745A626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237</w:t>
            </w:r>
          </w:p>
        </w:tc>
        <w:tc>
          <w:tcPr>
            <w:tcW w:w="1185" w:type="dxa"/>
            <w:tcBorders>
              <w:top w:val="nil"/>
              <w:left w:val="nil"/>
              <w:bottom w:val="nil"/>
              <w:right w:val="nil"/>
            </w:tcBorders>
            <w:shd w:val="clear" w:color="auto" w:fill="auto"/>
            <w:noWrap/>
            <w:vAlign w:val="bottom"/>
            <w:hideMark/>
          </w:tcPr>
          <w:p w14:paraId="4A7E1E3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79</w:t>
            </w:r>
          </w:p>
        </w:tc>
        <w:tc>
          <w:tcPr>
            <w:tcW w:w="1185" w:type="dxa"/>
            <w:tcBorders>
              <w:top w:val="nil"/>
              <w:left w:val="nil"/>
              <w:bottom w:val="nil"/>
              <w:right w:val="nil"/>
            </w:tcBorders>
            <w:shd w:val="clear" w:color="auto" w:fill="auto"/>
            <w:noWrap/>
            <w:vAlign w:val="bottom"/>
            <w:hideMark/>
          </w:tcPr>
          <w:p w14:paraId="6358F6F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85" w:type="dxa"/>
            <w:tcBorders>
              <w:top w:val="nil"/>
              <w:left w:val="nil"/>
              <w:bottom w:val="nil"/>
              <w:right w:val="nil"/>
            </w:tcBorders>
            <w:shd w:val="clear" w:color="auto" w:fill="auto"/>
            <w:noWrap/>
            <w:vAlign w:val="bottom"/>
            <w:hideMark/>
          </w:tcPr>
          <w:p w14:paraId="670778A2"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12</w:t>
            </w:r>
          </w:p>
        </w:tc>
        <w:tc>
          <w:tcPr>
            <w:tcW w:w="1185" w:type="dxa"/>
            <w:tcBorders>
              <w:top w:val="nil"/>
              <w:left w:val="nil"/>
              <w:bottom w:val="nil"/>
              <w:right w:val="nil"/>
            </w:tcBorders>
            <w:shd w:val="clear" w:color="auto" w:fill="auto"/>
            <w:noWrap/>
            <w:vAlign w:val="bottom"/>
            <w:hideMark/>
          </w:tcPr>
          <w:p w14:paraId="24ABD85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w:t>
            </w:r>
          </w:p>
        </w:tc>
      </w:tr>
      <w:tr w:rsidR="00F72024" w:rsidRPr="0043701B" w14:paraId="7E922CB2" w14:textId="77777777" w:rsidTr="00F72024">
        <w:trPr>
          <w:trHeight w:val="300"/>
        </w:trPr>
        <w:tc>
          <w:tcPr>
            <w:tcW w:w="1184" w:type="dxa"/>
            <w:tcBorders>
              <w:top w:val="nil"/>
              <w:left w:val="nil"/>
              <w:bottom w:val="nil"/>
              <w:right w:val="nil"/>
            </w:tcBorders>
            <w:shd w:val="clear" w:color="auto" w:fill="auto"/>
            <w:noWrap/>
            <w:vAlign w:val="bottom"/>
            <w:hideMark/>
          </w:tcPr>
          <w:p w14:paraId="7124CAB4"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2016</w:t>
            </w:r>
          </w:p>
        </w:tc>
        <w:tc>
          <w:tcPr>
            <w:tcW w:w="1185" w:type="dxa"/>
            <w:tcBorders>
              <w:top w:val="nil"/>
              <w:left w:val="nil"/>
              <w:bottom w:val="nil"/>
              <w:right w:val="nil"/>
            </w:tcBorders>
            <w:shd w:val="clear" w:color="auto" w:fill="auto"/>
            <w:noWrap/>
            <w:vAlign w:val="bottom"/>
            <w:hideMark/>
          </w:tcPr>
          <w:p w14:paraId="2B8154B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226</w:t>
            </w:r>
          </w:p>
        </w:tc>
        <w:tc>
          <w:tcPr>
            <w:tcW w:w="1185" w:type="dxa"/>
            <w:tcBorders>
              <w:top w:val="nil"/>
              <w:left w:val="nil"/>
              <w:bottom w:val="nil"/>
              <w:right w:val="nil"/>
            </w:tcBorders>
            <w:shd w:val="clear" w:color="auto" w:fill="auto"/>
            <w:noWrap/>
            <w:vAlign w:val="bottom"/>
            <w:hideMark/>
          </w:tcPr>
          <w:p w14:paraId="1B9B33D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77</w:t>
            </w:r>
          </w:p>
        </w:tc>
        <w:tc>
          <w:tcPr>
            <w:tcW w:w="1185" w:type="dxa"/>
            <w:tcBorders>
              <w:top w:val="nil"/>
              <w:left w:val="nil"/>
              <w:bottom w:val="nil"/>
              <w:right w:val="nil"/>
            </w:tcBorders>
            <w:shd w:val="clear" w:color="auto" w:fill="auto"/>
            <w:noWrap/>
            <w:vAlign w:val="bottom"/>
            <w:hideMark/>
          </w:tcPr>
          <w:p w14:paraId="2C21812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1C645CC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16</w:t>
            </w:r>
          </w:p>
        </w:tc>
        <w:tc>
          <w:tcPr>
            <w:tcW w:w="1185" w:type="dxa"/>
            <w:tcBorders>
              <w:top w:val="nil"/>
              <w:left w:val="nil"/>
              <w:bottom w:val="nil"/>
              <w:right w:val="nil"/>
            </w:tcBorders>
            <w:shd w:val="clear" w:color="auto" w:fill="auto"/>
            <w:noWrap/>
            <w:vAlign w:val="bottom"/>
            <w:hideMark/>
          </w:tcPr>
          <w:p w14:paraId="5149280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w:t>
            </w:r>
          </w:p>
        </w:tc>
      </w:tr>
      <w:tr w:rsidR="00F72024" w:rsidRPr="0043701B" w14:paraId="56DB5858" w14:textId="77777777" w:rsidTr="00F72024">
        <w:trPr>
          <w:trHeight w:val="300"/>
        </w:trPr>
        <w:tc>
          <w:tcPr>
            <w:tcW w:w="1184" w:type="dxa"/>
            <w:tcBorders>
              <w:top w:val="nil"/>
              <w:left w:val="nil"/>
              <w:bottom w:val="nil"/>
              <w:right w:val="nil"/>
            </w:tcBorders>
            <w:shd w:val="clear" w:color="auto" w:fill="auto"/>
            <w:noWrap/>
            <w:vAlign w:val="bottom"/>
            <w:hideMark/>
          </w:tcPr>
          <w:p w14:paraId="48C9AEC9"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2017</w:t>
            </w:r>
          </w:p>
        </w:tc>
        <w:tc>
          <w:tcPr>
            <w:tcW w:w="1185" w:type="dxa"/>
            <w:tcBorders>
              <w:top w:val="nil"/>
              <w:left w:val="nil"/>
              <w:bottom w:val="nil"/>
              <w:right w:val="nil"/>
            </w:tcBorders>
            <w:shd w:val="clear" w:color="auto" w:fill="auto"/>
            <w:noWrap/>
            <w:vAlign w:val="bottom"/>
            <w:hideMark/>
          </w:tcPr>
          <w:p w14:paraId="7C433440"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217</w:t>
            </w:r>
          </w:p>
        </w:tc>
        <w:tc>
          <w:tcPr>
            <w:tcW w:w="1185" w:type="dxa"/>
            <w:tcBorders>
              <w:top w:val="nil"/>
              <w:left w:val="nil"/>
              <w:bottom w:val="nil"/>
              <w:right w:val="nil"/>
            </w:tcBorders>
            <w:shd w:val="clear" w:color="auto" w:fill="auto"/>
            <w:noWrap/>
            <w:vAlign w:val="bottom"/>
            <w:hideMark/>
          </w:tcPr>
          <w:p w14:paraId="3938764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85" w:type="dxa"/>
            <w:tcBorders>
              <w:top w:val="nil"/>
              <w:left w:val="nil"/>
              <w:bottom w:val="nil"/>
              <w:right w:val="nil"/>
            </w:tcBorders>
            <w:shd w:val="clear" w:color="auto" w:fill="auto"/>
            <w:noWrap/>
            <w:vAlign w:val="bottom"/>
            <w:hideMark/>
          </w:tcPr>
          <w:p w14:paraId="461E8BE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c>
          <w:tcPr>
            <w:tcW w:w="1185" w:type="dxa"/>
            <w:tcBorders>
              <w:top w:val="nil"/>
              <w:left w:val="nil"/>
              <w:bottom w:val="nil"/>
              <w:right w:val="nil"/>
            </w:tcBorders>
            <w:shd w:val="clear" w:color="auto" w:fill="auto"/>
            <w:noWrap/>
            <w:vAlign w:val="bottom"/>
            <w:hideMark/>
          </w:tcPr>
          <w:p w14:paraId="1CE9543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25</w:t>
            </w:r>
          </w:p>
        </w:tc>
        <w:tc>
          <w:tcPr>
            <w:tcW w:w="1185" w:type="dxa"/>
            <w:tcBorders>
              <w:top w:val="nil"/>
              <w:left w:val="nil"/>
              <w:bottom w:val="nil"/>
              <w:right w:val="nil"/>
            </w:tcBorders>
            <w:shd w:val="clear" w:color="auto" w:fill="auto"/>
            <w:noWrap/>
            <w:vAlign w:val="bottom"/>
            <w:hideMark/>
          </w:tcPr>
          <w:p w14:paraId="3E517AA8"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11</w:t>
            </w:r>
          </w:p>
        </w:tc>
      </w:tr>
      <w:tr w:rsidR="00F72024" w:rsidRPr="0043701B" w14:paraId="46E00689" w14:textId="77777777" w:rsidTr="00F72024">
        <w:trPr>
          <w:trHeight w:val="300"/>
        </w:trPr>
        <w:tc>
          <w:tcPr>
            <w:tcW w:w="1184" w:type="dxa"/>
            <w:tcBorders>
              <w:top w:val="nil"/>
              <w:left w:val="nil"/>
              <w:bottom w:val="nil"/>
              <w:right w:val="nil"/>
            </w:tcBorders>
            <w:shd w:val="clear" w:color="auto" w:fill="auto"/>
            <w:noWrap/>
            <w:vAlign w:val="bottom"/>
            <w:hideMark/>
          </w:tcPr>
          <w:p w14:paraId="37D91597"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lastRenderedPageBreak/>
              <w:t>2018</w:t>
            </w:r>
          </w:p>
        </w:tc>
        <w:tc>
          <w:tcPr>
            <w:tcW w:w="1185" w:type="dxa"/>
            <w:tcBorders>
              <w:top w:val="nil"/>
              <w:left w:val="nil"/>
              <w:bottom w:val="nil"/>
              <w:right w:val="nil"/>
            </w:tcBorders>
            <w:shd w:val="clear" w:color="auto" w:fill="auto"/>
            <w:noWrap/>
            <w:vAlign w:val="bottom"/>
            <w:hideMark/>
          </w:tcPr>
          <w:p w14:paraId="1E1E11B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206</w:t>
            </w:r>
          </w:p>
        </w:tc>
        <w:tc>
          <w:tcPr>
            <w:tcW w:w="1185" w:type="dxa"/>
            <w:tcBorders>
              <w:top w:val="nil"/>
              <w:left w:val="nil"/>
              <w:bottom w:val="nil"/>
              <w:right w:val="nil"/>
            </w:tcBorders>
            <w:shd w:val="clear" w:color="auto" w:fill="auto"/>
            <w:noWrap/>
            <w:vAlign w:val="bottom"/>
            <w:hideMark/>
          </w:tcPr>
          <w:p w14:paraId="029AFE8A"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76</w:t>
            </w:r>
          </w:p>
        </w:tc>
        <w:tc>
          <w:tcPr>
            <w:tcW w:w="1185" w:type="dxa"/>
            <w:tcBorders>
              <w:top w:val="nil"/>
              <w:left w:val="nil"/>
              <w:bottom w:val="nil"/>
              <w:right w:val="nil"/>
            </w:tcBorders>
            <w:shd w:val="clear" w:color="auto" w:fill="auto"/>
            <w:noWrap/>
            <w:vAlign w:val="bottom"/>
            <w:hideMark/>
          </w:tcPr>
          <w:p w14:paraId="0F23B22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30</w:t>
            </w:r>
          </w:p>
        </w:tc>
        <w:tc>
          <w:tcPr>
            <w:tcW w:w="1185" w:type="dxa"/>
            <w:tcBorders>
              <w:top w:val="nil"/>
              <w:left w:val="nil"/>
              <w:bottom w:val="nil"/>
              <w:right w:val="nil"/>
            </w:tcBorders>
            <w:shd w:val="clear" w:color="auto" w:fill="auto"/>
            <w:noWrap/>
            <w:vAlign w:val="bottom"/>
            <w:hideMark/>
          </w:tcPr>
          <w:p w14:paraId="67772B1C"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85" w:type="dxa"/>
            <w:tcBorders>
              <w:top w:val="nil"/>
              <w:left w:val="nil"/>
              <w:bottom w:val="nil"/>
              <w:right w:val="nil"/>
            </w:tcBorders>
            <w:shd w:val="clear" w:color="auto" w:fill="auto"/>
            <w:noWrap/>
            <w:vAlign w:val="bottom"/>
            <w:hideMark/>
          </w:tcPr>
          <w:p w14:paraId="61BDBBF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14</w:t>
            </w:r>
          </w:p>
        </w:tc>
      </w:tr>
      <w:tr w:rsidR="00F72024" w:rsidRPr="0043701B" w14:paraId="44F807D3" w14:textId="77777777" w:rsidTr="00F72024">
        <w:trPr>
          <w:trHeight w:val="300"/>
        </w:trPr>
        <w:tc>
          <w:tcPr>
            <w:tcW w:w="1184" w:type="dxa"/>
            <w:tcBorders>
              <w:top w:val="nil"/>
              <w:left w:val="nil"/>
              <w:bottom w:val="nil"/>
              <w:right w:val="nil"/>
            </w:tcBorders>
            <w:shd w:val="clear" w:color="auto" w:fill="auto"/>
            <w:noWrap/>
            <w:vAlign w:val="bottom"/>
            <w:hideMark/>
          </w:tcPr>
          <w:p w14:paraId="1B67848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2019</w:t>
            </w:r>
          </w:p>
        </w:tc>
        <w:tc>
          <w:tcPr>
            <w:tcW w:w="1185" w:type="dxa"/>
            <w:tcBorders>
              <w:top w:val="nil"/>
              <w:left w:val="nil"/>
              <w:bottom w:val="nil"/>
              <w:right w:val="nil"/>
            </w:tcBorders>
            <w:shd w:val="clear" w:color="auto" w:fill="auto"/>
            <w:noWrap/>
            <w:vAlign w:val="bottom"/>
            <w:hideMark/>
          </w:tcPr>
          <w:p w14:paraId="6D53B87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195</w:t>
            </w:r>
          </w:p>
        </w:tc>
        <w:tc>
          <w:tcPr>
            <w:tcW w:w="1185" w:type="dxa"/>
            <w:tcBorders>
              <w:top w:val="nil"/>
              <w:left w:val="nil"/>
              <w:bottom w:val="nil"/>
              <w:right w:val="nil"/>
            </w:tcBorders>
            <w:shd w:val="clear" w:color="auto" w:fill="auto"/>
            <w:noWrap/>
            <w:vAlign w:val="bottom"/>
            <w:hideMark/>
          </w:tcPr>
          <w:p w14:paraId="3FD9428A"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78</w:t>
            </w:r>
          </w:p>
        </w:tc>
        <w:tc>
          <w:tcPr>
            <w:tcW w:w="1185" w:type="dxa"/>
            <w:tcBorders>
              <w:top w:val="nil"/>
              <w:left w:val="nil"/>
              <w:bottom w:val="nil"/>
              <w:right w:val="nil"/>
            </w:tcBorders>
            <w:shd w:val="clear" w:color="auto" w:fill="auto"/>
            <w:noWrap/>
            <w:vAlign w:val="bottom"/>
            <w:hideMark/>
          </w:tcPr>
          <w:p w14:paraId="0CDA8BB7"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372EAE51"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28</w:t>
            </w:r>
          </w:p>
        </w:tc>
        <w:tc>
          <w:tcPr>
            <w:tcW w:w="1185" w:type="dxa"/>
            <w:tcBorders>
              <w:top w:val="nil"/>
              <w:left w:val="nil"/>
              <w:bottom w:val="nil"/>
              <w:right w:val="nil"/>
            </w:tcBorders>
            <w:shd w:val="clear" w:color="auto" w:fill="auto"/>
            <w:noWrap/>
            <w:vAlign w:val="bottom"/>
            <w:hideMark/>
          </w:tcPr>
          <w:p w14:paraId="14E2342B"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26</w:t>
            </w:r>
          </w:p>
        </w:tc>
      </w:tr>
      <w:tr w:rsidR="00F72024" w:rsidRPr="0043701B" w14:paraId="1E8D27C4" w14:textId="77777777" w:rsidTr="00F72024">
        <w:trPr>
          <w:trHeight w:val="300"/>
        </w:trPr>
        <w:tc>
          <w:tcPr>
            <w:tcW w:w="1184" w:type="dxa"/>
            <w:tcBorders>
              <w:top w:val="nil"/>
              <w:left w:val="nil"/>
              <w:bottom w:val="nil"/>
              <w:right w:val="nil"/>
            </w:tcBorders>
            <w:shd w:val="clear" w:color="auto" w:fill="auto"/>
            <w:noWrap/>
            <w:vAlign w:val="bottom"/>
            <w:hideMark/>
          </w:tcPr>
          <w:p w14:paraId="7A50F7F3"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2020</w:t>
            </w:r>
          </w:p>
        </w:tc>
        <w:tc>
          <w:tcPr>
            <w:tcW w:w="1185" w:type="dxa"/>
            <w:tcBorders>
              <w:top w:val="nil"/>
              <w:left w:val="nil"/>
              <w:bottom w:val="nil"/>
              <w:right w:val="nil"/>
            </w:tcBorders>
            <w:shd w:val="clear" w:color="auto" w:fill="auto"/>
            <w:noWrap/>
            <w:vAlign w:val="bottom"/>
            <w:hideMark/>
          </w:tcPr>
          <w:p w14:paraId="0F451E5D"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186</w:t>
            </w:r>
          </w:p>
        </w:tc>
        <w:tc>
          <w:tcPr>
            <w:tcW w:w="1185" w:type="dxa"/>
            <w:tcBorders>
              <w:top w:val="nil"/>
              <w:left w:val="nil"/>
              <w:bottom w:val="nil"/>
              <w:right w:val="nil"/>
            </w:tcBorders>
            <w:shd w:val="clear" w:color="auto" w:fill="auto"/>
            <w:noWrap/>
            <w:vAlign w:val="bottom"/>
            <w:hideMark/>
          </w:tcPr>
          <w:p w14:paraId="69AA9DA4"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80</w:t>
            </w:r>
          </w:p>
        </w:tc>
        <w:tc>
          <w:tcPr>
            <w:tcW w:w="1185" w:type="dxa"/>
            <w:tcBorders>
              <w:top w:val="nil"/>
              <w:left w:val="nil"/>
              <w:bottom w:val="nil"/>
              <w:right w:val="nil"/>
            </w:tcBorders>
            <w:shd w:val="clear" w:color="auto" w:fill="auto"/>
            <w:noWrap/>
            <w:vAlign w:val="bottom"/>
            <w:hideMark/>
          </w:tcPr>
          <w:p w14:paraId="516E7DD6"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33</w:t>
            </w:r>
          </w:p>
        </w:tc>
        <w:tc>
          <w:tcPr>
            <w:tcW w:w="1185" w:type="dxa"/>
            <w:tcBorders>
              <w:top w:val="nil"/>
              <w:left w:val="nil"/>
              <w:bottom w:val="nil"/>
              <w:right w:val="nil"/>
            </w:tcBorders>
            <w:shd w:val="clear" w:color="auto" w:fill="auto"/>
            <w:noWrap/>
            <w:vAlign w:val="bottom"/>
            <w:hideMark/>
          </w:tcPr>
          <w:p w14:paraId="16DE4BBE"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29</w:t>
            </w:r>
          </w:p>
        </w:tc>
        <w:tc>
          <w:tcPr>
            <w:tcW w:w="1185" w:type="dxa"/>
            <w:tcBorders>
              <w:top w:val="nil"/>
              <w:left w:val="nil"/>
              <w:bottom w:val="nil"/>
              <w:right w:val="nil"/>
            </w:tcBorders>
            <w:shd w:val="clear" w:color="auto" w:fill="auto"/>
            <w:noWrap/>
            <w:vAlign w:val="bottom"/>
            <w:hideMark/>
          </w:tcPr>
          <w:p w14:paraId="690C790F" w14:textId="77777777" w:rsidR="00F72024" w:rsidRPr="0043701B" w:rsidRDefault="00F72024" w:rsidP="00F72024">
            <w:pPr>
              <w:jc w:val="center"/>
              <w:rPr>
                <w:rFonts w:ascii="Calibri" w:eastAsia="Times New Roman" w:hAnsi="Calibri" w:cs="Times New Roman"/>
                <w:color w:val="000000"/>
                <w:lang w:val="en-CA"/>
              </w:rPr>
            </w:pPr>
            <w:r w:rsidRPr="0043701B">
              <w:rPr>
                <w:rFonts w:ascii="Calibri" w:eastAsia="Times New Roman" w:hAnsi="Calibri" w:cs="Times New Roman"/>
                <w:color w:val="000000"/>
                <w:lang w:val="en-CA"/>
              </w:rPr>
              <w:t>27</w:t>
            </w:r>
          </w:p>
        </w:tc>
      </w:tr>
    </w:tbl>
    <w:p w14:paraId="7681C5ED" w14:textId="77777777" w:rsidR="00F72024" w:rsidRPr="00F72024" w:rsidRDefault="00F72024" w:rsidP="00F72024">
      <w:pPr>
        <w:pStyle w:val="ListParagraph"/>
        <w:numPr>
          <w:ilvl w:val="0"/>
          <w:numId w:val="2"/>
        </w:numPr>
        <w:rPr>
          <w:rFonts w:ascii="Helvetica" w:eastAsia="Times New Roman" w:hAnsi="Helvetica" w:cs="Times New Roman"/>
          <w:b/>
          <w:lang w:val="en-CA"/>
        </w:rPr>
      </w:pPr>
    </w:p>
    <w:p w14:paraId="4BD5E350" w14:textId="77777777" w:rsidR="00F72024" w:rsidRDefault="00F72024" w:rsidP="0063493F">
      <w:pPr>
        <w:pStyle w:val="ListParagraph"/>
        <w:numPr>
          <w:ilvl w:val="0"/>
          <w:numId w:val="2"/>
        </w:numPr>
        <w:spacing w:after="160" w:line="259" w:lineRule="auto"/>
      </w:pPr>
    </w:p>
    <w:p w14:paraId="429CA5CF" w14:textId="5548B650" w:rsidR="00F72024" w:rsidRDefault="00F72024" w:rsidP="00F72024">
      <w:pPr>
        <w:pStyle w:val="ListParagraph"/>
        <w:numPr>
          <w:ilvl w:val="1"/>
          <w:numId w:val="2"/>
        </w:numPr>
        <w:spacing w:after="160" w:line="259" w:lineRule="auto"/>
      </w:pPr>
      <w:r>
        <w:t xml:space="preserve">Table X shows a detailed breakdown of the number of survey grids, out of a total 355, which have had a specified number of sampling station relocations, between the 2013 and 2020 surveys. </w:t>
      </w:r>
    </w:p>
    <w:p w14:paraId="211D91EC" w14:textId="766C07AC" w:rsidR="00F72024" w:rsidRDefault="00F72024" w:rsidP="00F72024">
      <w:pPr>
        <w:pStyle w:val="ListParagraph"/>
        <w:numPr>
          <w:ilvl w:val="1"/>
          <w:numId w:val="2"/>
        </w:numPr>
        <w:spacing w:after="160" w:line="259" w:lineRule="auto"/>
      </w:pPr>
      <w:r>
        <w:t xml:space="preserve">In particular, </w:t>
      </w:r>
      <w:r w:rsidR="00B97672">
        <w:t>67</w:t>
      </w:r>
      <w:r>
        <w:t xml:space="preserve"> stations </w:t>
      </w:r>
      <w:r w:rsidR="00B97672">
        <w:t xml:space="preserve">from the original set of 355 random stations in  were already moved to alternates in 2013. </w:t>
      </w:r>
    </w:p>
    <w:p w14:paraId="5B6B7FC6" w14:textId="77777777" w:rsidR="00B97672" w:rsidRDefault="00B97672" w:rsidP="00F72024">
      <w:pPr>
        <w:pStyle w:val="ListParagraph"/>
        <w:numPr>
          <w:ilvl w:val="1"/>
          <w:numId w:val="2"/>
        </w:numPr>
        <w:spacing w:after="160" w:line="259" w:lineRule="auto"/>
      </w:pPr>
      <w:r>
        <w:t>Progressively more and more grids contained relocated stations, though the number of original stations being moved has decreased to about 11 per annum in the past 4 years.</w:t>
      </w:r>
    </w:p>
    <w:p w14:paraId="296F4566" w14:textId="48CD9FEE" w:rsidR="00B97672" w:rsidRDefault="00B97672" w:rsidP="00F72024">
      <w:pPr>
        <w:pStyle w:val="ListParagraph"/>
        <w:numPr>
          <w:ilvl w:val="1"/>
          <w:numId w:val="2"/>
        </w:numPr>
        <w:spacing w:after="160" w:line="259" w:lineRule="auto"/>
      </w:pPr>
      <w:r>
        <w:t xml:space="preserve">In 2020,  only 186 from the original 2013 </w:t>
      </w:r>
      <w:r w:rsidR="00980C5F">
        <w:t>stations</w:t>
      </w:r>
      <w:r>
        <w:t xml:space="preserve"> remained fixed, with 80 of the remaining stations moving once, 33 moving twice, 29 moving three times, and 27 moving four or more times.</w:t>
      </w:r>
    </w:p>
    <w:p w14:paraId="04838E49" w14:textId="64C9A9AC" w:rsidR="00980C5F" w:rsidRDefault="00980C5F" w:rsidP="00F72024">
      <w:pPr>
        <w:pStyle w:val="ListParagraph"/>
        <w:numPr>
          <w:ilvl w:val="1"/>
          <w:numId w:val="2"/>
        </w:numPr>
        <w:spacing w:after="160" w:line="259" w:lineRule="auto"/>
      </w:pPr>
      <w:r>
        <w:t>Conclusion:</w:t>
      </w:r>
    </w:p>
    <w:p w14:paraId="3448B01F" w14:textId="6F1C6962" w:rsidR="00B97672" w:rsidRDefault="00980C5F" w:rsidP="00980C5F">
      <w:pPr>
        <w:pStyle w:val="ListParagraph"/>
        <w:numPr>
          <w:ilvl w:val="2"/>
          <w:numId w:val="2"/>
        </w:numPr>
        <w:spacing w:after="160" w:line="259" w:lineRule="auto"/>
      </w:pPr>
      <w:r>
        <w:t>Almost half of survey stations have been moved at least once since 2013.</w:t>
      </w:r>
    </w:p>
    <w:p w14:paraId="3003D6D4" w14:textId="3684AC0F" w:rsidR="00980C5F" w:rsidRDefault="00E46862" w:rsidP="00980C5F">
      <w:pPr>
        <w:pStyle w:val="ListParagraph"/>
        <w:numPr>
          <w:ilvl w:val="2"/>
          <w:numId w:val="2"/>
        </w:numPr>
        <w:spacing w:after="160" w:line="259" w:lineRule="auto"/>
      </w:pPr>
      <w:r>
        <w:t>Recommendation: The survey sampling protocol should be modified in order to monitor the impact of these station relocations. The following change is recommended: Using the original 2013 set of random survey stations, a representative subset of the survey area should be chosen to remain fixed in subsequent surveys (say about half of stations), while the remaining stations may follow the current protocol.</w:t>
      </w:r>
    </w:p>
    <w:p w14:paraId="71D85C39" w14:textId="30887380" w:rsidR="0063493F" w:rsidRDefault="0063493F" w:rsidP="0063493F">
      <w:pPr>
        <w:pStyle w:val="ListParagraph"/>
        <w:numPr>
          <w:ilvl w:val="0"/>
          <w:numId w:val="2"/>
        </w:numPr>
        <w:spacing w:after="160" w:line="259" w:lineRule="auto"/>
        <w:rPr>
          <w:i/>
        </w:rPr>
      </w:pPr>
      <w:r w:rsidRPr="0063493F">
        <w:rPr>
          <w:i/>
        </w:rPr>
        <w:t xml:space="preserve">There is now an extended period of a positive residual pattern between the survey and predicted R1 biomass, effectively since about 2012 and constituting near-half of the time series. </w:t>
      </w:r>
    </w:p>
    <w:p w14:paraId="7DC3B184" w14:textId="51B7C71D" w:rsidR="00636920" w:rsidRPr="00636920" w:rsidRDefault="00636920" w:rsidP="00636920">
      <w:pPr>
        <w:pStyle w:val="ListParagraph"/>
        <w:numPr>
          <w:ilvl w:val="1"/>
          <w:numId w:val="2"/>
        </w:numPr>
        <w:spacing w:after="160" w:line="259" w:lineRule="auto"/>
        <w:rPr>
          <w:i/>
        </w:rPr>
      </w:pPr>
      <w:r>
        <w:t>R1s are affected by by-catch mortality from fishing</w:t>
      </w:r>
    </w:p>
    <w:p w14:paraId="125E77E8" w14:textId="1AF38AC0" w:rsidR="00636920" w:rsidRPr="00636920" w:rsidRDefault="00636920" w:rsidP="00636920">
      <w:pPr>
        <w:pStyle w:val="ListParagraph"/>
        <w:numPr>
          <w:ilvl w:val="1"/>
          <w:numId w:val="2"/>
        </w:numPr>
        <w:spacing w:after="160" w:line="259" w:lineRule="auto"/>
        <w:rPr>
          <w:i/>
        </w:rPr>
      </w:pPr>
      <w:r>
        <w:t>R1s are subject to variations in natural mortality thought to be driven by high abundance of large commercial males (residuals)</w:t>
      </w:r>
    </w:p>
    <w:p w14:paraId="60EA6F75" w14:textId="32843397" w:rsidR="00636920" w:rsidRPr="00636920" w:rsidRDefault="00636920" w:rsidP="00636920">
      <w:pPr>
        <w:pStyle w:val="ListParagraph"/>
        <w:numPr>
          <w:ilvl w:val="1"/>
          <w:numId w:val="2"/>
        </w:numPr>
        <w:spacing w:after="160" w:line="259" w:lineRule="auto"/>
        <w:rPr>
          <w:i/>
        </w:rPr>
      </w:pPr>
      <w:r>
        <w:t>Catchability is also an issue.</w:t>
      </w:r>
    </w:p>
    <w:p w14:paraId="1456F198" w14:textId="730F0BC9" w:rsidR="0063493F" w:rsidRPr="00BF55EC" w:rsidRDefault="0063493F" w:rsidP="0063493F">
      <w:pPr>
        <w:pStyle w:val="ListParagraph"/>
        <w:numPr>
          <w:ilvl w:val="0"/>
          <w:numId w:val="2"/>
        </w:numPr>
        <w:spacing w:after="160" w:line="259" w:lineRule="auto"/>
        <w:rPr>
          <w:color w:val="FF0000"/>
        </w:rPr>
      </w:pPr>
      <w:r>
        <w:t xml:space="preserve">A new survey design was instituted in 2012 with expanded boundaries and new site selection. </w:t>
      </w:r>
    </w:p>
    <w:p w14:paraId="667F037F" w14:textId="07F0C580" w:rsidR="0063493F" w:rsidRDefault="0063493F" w:rsidP="0063493F">
      <w:pPr>
        <w:pStyle w:val="ListParagraph"/>
        <w:numPr>
          <w:ilvl w:val="0"/>
          <w:numId w:val="2"/>
        </w:numPr>
        <w:spacing w:after="160" w:line="259" w:lineRule="auto"/>
      </w:pPr>
      <w:r>
        <w:t>Since 201</w:t>
      </w:r>
      <w:r w:rsidR="00636920">
        <w:t>3</w:t>
      </w:r>
      <w:r>
        <w:t xml:space="preserve">, there has been a practice to maintain successful sets from the previous survey and abandon unsuccessful sets in lieu of successfully occupied alternates. </w:t>
      </w:r>
    </w:p>
    <w:p w14:paraId="31B61094" w14:textId="77777777" w:rsidR="0063493F" w:rsidRPr="0063493F" w:rsidRDefault="0063493F" w:rsidP="0063493F">
      <w:pPr>
        <w:pStyle w:val="ListParagraph"/>
        <w:numPr>
          <w:ilvl w:val="0"/>
          <w:numId w:val="2"/>
        </w:numPr>
        <w:spacing w:after="160" w:line="259" w:lineRule="auto"/>
        <w:rPr>
          <w:i/>
        </w:rPr>
      </w:pPr>
      <w:r>
        <w:t xml:space="preserve">My guess is the successful alternates that become a fixed part of the survey design thereafter </w:t>
      </w:r>
      <w:r w:rsidRPr="0063493F">
        <w:rPr>
          <w:i/>
        </w:rPr>
        <w:t>would be systematically associated with softer substrates, upon which q would be higher (intro of trawl survey document says footrope digs into soft-sediment and increases q.</w:t>
      </w:r>
    </w:p>
    <w:p w14:paraId="30A6D7C1" w14:textId="77777777" w:rsidR="0063493F" w:rsidRDefault="0063493F" w:rsidP="0063493F">
      <w:pPr>
        <w:pStyle w:val="ListParagraph"/>
        <w:numPr>
          <w:ilvl w:val="0"/>
          <w:numId w:val="2"/>
        </w:numPr>
        <w:spacing w:after="160" w:line="259" w:lineRule="auto"/>
      </w:pPr>
      <w:r>
        <w:lastRenderedPageBreak/>
        <w:t>Survey Protocol section of Trawl Document says in 2018 31 stations (= near 10% of total survey) were re-assigned in 2019 survey design. Furthermore, the Characteristics of Tows in 2019 section says an additional 33 sites were completed on additional stations. This is a high rate of attrition, presumably toward softer sediments.</w:t>
      </w:r>
    </w:p>
    <w:p w14:paraId="0BAFE6BA" w14:textId="77777777" w:rsidR="0063493F" w:rsidRDefault="0063493F" w:rsidP="0063493F">
      <w:pPr>
        <w:pStyle w:val="ListParagraph"/>
        <w:numPr>
          <w:ilvl w:val="0"/>
          <w:numId w:val="2"/>
        </w:numPr>
        <w:spacing w:after="160" w:line="259" w:lineRule="auto"/>
      </w:pPr>
      <w:r>
        <w:t>Figure 7 in the trawling document suggests it’s mostly peripheral areas that are becoming abandoned. This pattern is even more exacerbated in previous assessment documents, such as in 2013-2015 survey years.</w:t>
      </w:r>
    </w:p>
    <w:p w14:paraId="7633185A" w14:textId="77777777" w:rsidR="0063493F" w:rsidRDefault="0063493F" w:rsidP="0063493F">
      <w:pPr>
        <w:pStyle w:val="ListParagraph"/>
        <w:numPr>
          <w:ilvl w:val="0"/>
          <w:numId w:val="2"/>
        </w:numPr>
        <w:spacing w:after="160" w:line="259" w:lineRule="auto"/>
      </w:pPr>
      <w:r>
        <w:t>The increasing attrition of shallow/hard bottom areas and increasing prominence of deeper/softer areas would lead to decreased presence of what would typically conform to small crab habitat and increased presence of what would typically conform to larger crab habitat and ultimately increase overall survey q, particularly for large crab (Mullowney review document on crab distribution and migration - Reviews Fish Biology &amp; Fisheries).</w:t>
      </w:r>
    </w:p>
    <w:p w14:paraId="213A2A09" w14:textId="709D2046" w:rsidR="0063493F" w:rsidRDefault="0063493F" w:rsidP="0063493F">
      <w:pPr>
        <w:pStyle w:val="ListParagraph"/>
        <w:numPr>
          <w:ilvl w:val="0"/>
          <w:numId w:val="2"/>
        </w:numPr>
        <w:spacing w:after="160" w:line="259" w:lineRule="auto"/>
      </w:pPr>
      <w:r>
        <w:t>Potential issues of increasing survey q are also consistent with a pattern of increasing vessel horsepower on the survey vessels throughout the time series (</w:t>
      </w:r>
      <w:proofErr w:type="spellStart"/>
      <w:r>
        <w:t>ie</w:t>
      </w:r>
      <w:proofErr w:type="spellEnd"/>
      <w:r>
        <w:t xml:space="preserve">. Benoit and </w:t>
      </w:r>
      <w:proofErr w:type="spellStart"/>
      <w:r>
        <w:t>Cadigan</w:t>
      </w:r>
      <w:proofErr w:type="spellEnd"/>
      <w:r>
        <w:t xml:space="preserve"> documents on the catchability of the RV vessels).</w:t>
      </w:r>
    </w:p>
    <w:p w14:paraId="56EC158A" w14:textId="086CB5FE" w:rsidR="00EE476A" w:rsidRDefault="00EE476A" w:rsidP="00EE476A">
      <w:pPr>
        <w:pStyle w:val="ListParagraph"/>
        <w:numPr>
          <w:ilvl w:val="1"/>
          <w:numId w:val="2"/>
        </w:numPr>
        <w:spacing w:after="160" w:line="259" w:lineRule="auto"/>
      </w:pPr>
      <w:r>
        <w:t xml:space="preserve">Benoit and </w:t>
      </w:r>
      <w:proofErr w:type="spellStart"/>
      <w:r>
        <w:t>Cadigan</w:t>
      </w:r>
      <w:proofErr w:type="spellEnd"/>
      <w:r>
        <w:t xml:space="preserve"> estimated a fairly large decrease in relative catchability between the Marco Michel (2012) and the Jean Mathieu (2013), although the Jean Mathieu had a more powerful engine, with 720hp versus 660hp. </w:t>
      </w:r>
    </w:p>
    <w:p w14:paraId="4D8E8A71" w14:textId="493145B2" w:rsidR="005E1F83" w:rsidRDefault="005E1F83" w:rsidP="00EE476A">
      <w:pPr>
        <w:pStyle w:val="ListParagraph"/>
        <w:numPr>
          <w:ilvl w:val="1"/>
          <w:numId w:val="2"/>
        </w:numPr>
        <w:spacing w:after="160" w:line="259" w:lineRule="auto"/>
      </w:pPr>
      <w:r>
        <w:t xml:space="preserve">CFVs Marco Michel and </w:t>
      </w:r>
      <w:r w:rsidR="00196F69">
        <w:t xml:space="preserve">Avalon Voyager II have similar designs, with both having higher </w:t>
      </w:r>
      <w:proofErr w:type="spellStart"/>
      <w:r w:rsidR="00196F69">
        <w:t>centers</w:t>
      </w:r>
      <w:proofErr w:type="spellEnd"/>
      <w:r w:rsidR="00196F69">
        <w:t xml:space="preserve"> of gravity than the lower-lying Jean Mathieu.  </w:t>
      </w:r>
    </w:p>
    <w:p w14:paraId="4F6B6021" w14:textId="081BE4FD" w:rsidR="0063493F" w:rsidRDefault="0063493F" w:rsidP="0063493F">
      <w:pPr>
        <w:pStyle w:val="ListParagraph"/>
        <w:numPr>
          <w:ilvl w:val="0"/>
          <w:numId w:val="2"/>
        </w:numPr>
        <w:spacing w:after="160" w:line="259" w:lineRule="auto"/>
      </w:pPr>
      <w:r>
        <w:t>There is a flat or negligibly positive slope on the 34-44mm CW crab index since 2006. In contrast, larger crab stages R4-R1, which inform the stage-based model have more strongly increasing slopes. The document claims the model starts at 56-68mm CW because of decreasing trawl catchability at lower sizes, but this would not seem to explain the disconnect between the stages if there is a constant survey q at each stage over time.</w:t>
      </w:r>
    </w:p>
    <w:p w14:paraId="72E7C203" w14:textId="49C72700" w:rsidR="00493CDC" w:rsidRDefault="00493CDC" w:rsidP="00493CDC">
      <w:pPr>
        <w:pStyle w:val="ListParagraph"/>
        <w:numPr>
          <w:ilvl w:val="1"/>
          <w:numId w:val="2"/>
        </w:numPr>
        <w:spacing w:after="160" w:line="259" w:lineRule="auto"/>
      </w:pPr>
      <w:r>
        <w:t>Perform analysis using size-based categories, e.g. 95-110mmm versus instar VIII</w:t>
      </w:r>
    </w:p>
    <w:p w14:paraId="6553A90E" w14:textId="782FFD45" w:rsidR="0063493F" w:rsidRDefault="0063493F" w:rsidP="00B97672">
      <w:pPr>
        <w:pStyle w:val="ListParagraph"/>
        <w:numPr>
          <w:ilvl w:val="0"/>
          <w:numId w:val="2"/>
        </w:numPr>
        <w:spacing w:after="160" w:line="259" w:lineRule="auto"/>
      </w:pPr>
      <w:r>
        <w:t>Trends in American Plaice capture in this survey appear consistent with an increasing survey q over the time series.</w:t>
      </w:r>
    </w:p>
    <w:p w14:paraId="64142AD6" w14:textId="16EE956F" w:rsidR="00493CDC" w:rsidRDefault="00493CDC" w:rsidP="00493CDC">
      <w:pPr>
        <w:pStyle w:val="ListParagraph"/>
        <w:numPr>
          <w:ilvl w:val="1"/>
          <w:numId w:val="2"/>
        </w:numPr>
        <w:spacing w:after="160" w:line="259" w:lineRule="auto"/>
      </w:pPr>
      <w:r>
        <w:t xml:space="preserve">American Plaice </w:t>
      </w:r>
      <w:r w:rsidR="00C77FCC">
        <w:t xml:space="preserve">abundance seemingly increased in abundance from 2006 to 2011. This survey period had a consistent set of stations and a single survey vessel and crew. </w:t>
      </w:r>
    </w:p>
    <w:p w14:paraId="561DC873" w14:textId="1B40F6D5" w:rsidR="00C77FCC" w:rsidRPr="00C77FCC" w:rsidRDefault="00C77FCC" w:rsidP="00493CDC">
      <w:pPr>
        <w:pStyle w:val="ListParagraph"/>
        <w:numPr>
          <w:ilvl w:val="1"/>
          <w:numId w:val="2"/>
        </w:numPr>
        <w:spacing w:after="160" w:line="259" w:lineRule="auto"/>
        <w:rPr>
          <w:i/>
        </w:rPr>
      </w:pPr>
      <w:r w:rsidRPr="00C77FCC">
        <w:rPr>
          <w:i/>
        </w:rPr>
        <w:t>Use the same scaling method to recalculate the American Plaice length-frequencies.</w:t>
      </w:r>
    </w:p>
    <w:p w14:paraId="264A1429" w14:textId="05CC31E2" w:rsidR="00C77FCC" w:rsidRPr="005E1F83" w:rsidRDefault="00C77FCC" w:rsidP="00493CDC">
      <w:pPr>
        <w:pStyle w:val="ListParagraph"/>
        <w:numPr>
          <w:ilvl w:val="1"/>
          <w:numId w:val="2"/>
        </w:numPr>
        <w:spacing w:after="160" w:line="259" w:lineRule="auto"/>
        <w:rPr>
          <w:i/>
        </w:rPr>
      </w:pPr>
      <w:r>
        <w:t xml:space="preserve">The 2012 survey redesign saw a decrease in abundance with another comparable one in 2013, with a new set of survey stations and survey vessel. The period from 2013-2018 was relatively much lower compared to the high point in 2012. A moderate increase </w:t>
      </w:r>
      <w:r w:rsidR="005E1F83">
        <w:t xml:space="preserve">in abundance was </w:t>
      </w:r>
      <w:r w:rsidR="005E1F83">
        <w:lastRenderedPageBreak/>
        <w:t xml:space="preserve">observed over this period, though a small decrease in 2017 to 2018 was also observed. </w:t>
      </w:r>
    </w:p>
    <w:p w14:paraId="05A2658D" w14:textId="4F2115C4" w:rsidR="005E1F83" w:rsidRPr="005E1F83" w:rsidRDefault="005E1F83" w:rsidP="00493CDC">
      <w:pPr>
        <w:pStyle w:val="ListParagraph"/>
        <w:numPr>
          <w:ilvl w:val="1"/>
          <w:numId w:val="2"/>
        </w:numPr>
        <w:spacing w:after="160" w:line="259" w:lineRule="auto"/>
        <w:rPr>
          <w:i/>
        </w:rPr>
      </w:pPr>
      <w:r>
        <w:t>2019 saw a large significant increase of ~22% over 2018. The 2020 level was comparable to 2019.</w:t>
      </w:r>
    </w:p>
    <w:p w14:paraId="434CEEA6" w14:textId="267F9B12" w:rsidR="005E1F83" w:rsidRPr="00C77FCC" w:rsidRDefault="005E1F83" w:rsidP="00493CDC">
      <w:pPr>
        <w:pStyle w:val="ListParagraph"/>
        <w:numPr>
          <w:ilvl w:val="1"/>
          <w:numId w:val="2"/>
        </w:numPr>
        <w:spacing w:after="160" w:line="259" w:lineRule="auto"/>
        <w:rPr>
          <w:i/>
        </w:rPr>
      </w:pPr>
      <w:r>
        <w:t>However, length-frequencies show a recruitment pulse starting in 2018 through 2020 which affect the perceived relative abundance over these years.</w:t>
      </w:r>
    </w:p>
    <w:p w14:paraId="55895A79" w14:textId="77777777" w:rsidR="0063493F" w:rsidRDefault="0063493F" w:rsidP="0063493F">
      <w:pPr>
        <w:pStyle w:val="ListParagraph"/>
        <w:numPr>
          <w:ilvl w:val="0"/>
          <w:numId w:val="2"/>
        </w:numPr>
        <w:spacing w:after="160" w:line="259" w:lineRule="auto"/>
      </w:pPr>
      <w:r>
        <w:t>Priors used in the stage-based model come from a period of suspected lower survey q.</w:t>
      </w:r>
    </w:p>
    <w:p w14:paraId="1160AC60" w14:textId="77777777" w:rsidR="0063493F" w:rsidRDefault="0063493F" w:rsidP="0063493F">
      <w:pPr>
        <w:pStyle w:val="ListParagraph"/>
        <w:numPr>
          <w:ilvl w:val="0"/>
          <w:numId w:val="2"/>
        </w:numPr>
        <w:spacing w:after="160" w:line="259" w:lineRule="auto"/>
      </w:pPr>
      <w:r>
        <w:t xml:space="preserve">Fig. 15 in the fishery document shows a loose positive correlation between biomass and CPUE over the time series (probably significant, not sure). Yet, CPUE in Area 12, the major crab area, has been flat for a decade and actually down in the past two years. This doesn’t appear to be associated with a trap saturation point, as other areas are/have shown higher CPUE. </w:t>
      </w:r>
    </w:p>
    <w:p w14:paraId="44C19F3D" w14:textId="249F0F10" w:rsidR="0063493F" w:rsidRDefault="0063493F" w:rsidP="0063493F">
      <w:pPr>
        <w:pStyle w:val="ListParagraph"/>
        <w:numPr>
          <w:ilvl w:val="0"/>
          <w:numId w:val="2"/>
        </w:numPr>
        <w:spacing w:after="160" w:line="259" w:lineRule="auto"/>
      </w:pPr>
      <w:r>
        <w:t xml:space="preserve">If I understand Fig. 11 and Fig 12. correctly, annual m for new-intermediate hard-shelled large adult males would be about 0.2-0.4 = </w:t>
      </w:r>
      <w:proofErr w:type="spellStart"/>
      <w:r>
        <w:t>Zm</w:t>
      </w:r>
      <w:proofErr w:type="spellEnd"/>
      <w:r>
        <w:t xml:space="preserve">(0.2-0.5). This seems </w:t>
      </w:r>
      <w:proofErr w:type="spellStart"/>
      <w:r>
        <w:t>kinda</w:t>
      </w:r>
      <w:proofErr w:type="spellEnd"/>
      <w:r>
        <w:t xml:space="preserve"> high? I don’t see why a crab in its prime physical condition, virtually immune from predation, would have m this high? I could see if it was more relevant to older-shelled or smaller crab. All above points on increasing survey q would suggest exploitation rate is probably higher than suggested.</w:t>
      </w:r>
    </w:p>
    <w:p w14:paraId="7D891F92" w14:textId="77777777" w:rsidR="009C1481" w:rsidRDefault="009C1481" w:rsidP="009C1481">
      <w:pPr>
        <w:spacing w:after="160" w:line="259" w:lineRule="auto"/>
      </w:pPr>
    </w:p>
    <w:p w14:paraId="62EC2E35" w14:textId="3CF42F32" w:rsidR="009F1800" w:rsidRDefault="0069331C" w:rsidP="0069331C">
      <w:pPr>
        <w:spacing w:after="160" w:line="259" w:lineRule="auto"/>
      </w:pPr>
      <w:r>
        <w:t>Snow crab trends:</w:t>
      </w:r>
    </w:p>
    <w:p w14:paraId="7EC37650" w14:textId="5E3BB4A7" w:rsidR="0069331C" w:rsidRDefault="0069331C" w:rsidP="0069331C">
      <w:pPr>
        <w:pStyle w:val="ListParagraph"/>
        <w:numPr>
          <w:ilvl w:val="0"/>
          <w:numId w:val="4"/>
        </w:numPr>
        <w:spacing w:after="160" w:line="259" w:lineRule="auto"/>
      </w:pPr>
      <w:r>
        <w:t>The survey from 2006 to 2011 used the same sampling design, fixed stations and the same survey vessel and crew. As such, inter-annual comparisons over this period are less prone to some sampling biases which were identified, such as vessel effects and moving stations to more trawlable areas, which were present from 2012 to 2020.</w:t>
      </w:r>
    </w:p>
    <w:p w14:paraId="51258A48" w14:textId="45BBEB3D" w:rsidR="0069331C" w:rsidRDefault="0069331C" w:rsidP="0069331C">
      <w:pPr>
        <w:pStyle w:val="ListParagraph"/>
        <w:numPr>
          <w:ilvl w:val="0"/>
          <w:numId w:val="4"/>
        </w:numPr>
        <w:spacing w:after="160" w:line="259" w:lineRule="auto"/>
      </w:pPr>
      <w:r>
        <w:t xml:space="preserve">Annual trends for three snow crab categories were examined, </w:t>
      </w:r>
      <w:r>
        <w:t>immature females, mature females</w:t>
      </w:r>
      <w:r>
        <w:t xml:space="preserve">, </w:t>
      </w:r>
      <w:r>
        <w:t>immature males</w:t>
      </w:r>
      <w:r>
        <w:t xml:space="preserve"> and commercial males.</w:t>
      </w:r>
    </w:p>
    <w:p w14:paraId="2B332EA9" w14:textId="77777777" w:rsidR="0069331C" w:rsidRDefault="0069331C" w:rsidP="0069331C">
      <w:pPr>
        <w:pStyle w:val="ListParagraph"/>
        <w:numPr>
          <w:ilvl w:val="1"/>
          <w:numId w:val="4"/>
        </w:numPr>
        <w:spacing w:after="160" w:line="259" w:lineRule="auto"/>
      </w:pPr>
      <w:r>
        <w:t>Add commercial crab to analysis.</w:t>
      </w:r>
    </w:p>
    <w:p w14:paraId="10D52EFE" w14:textId="335D0968" w:rsidR="0069331C" w:rsidRDefault="0069331C" w:rsidP="0069331C">
      <w:pPr>
        <w:pStyle w:val="ListParagraph"/>
        <w:numPr>
          <w:ilvl w:val="1"/>
          <w:numId w:val="4"/>
        </w:numPr>
        <w:spacing w:after="160" w:line="259" w:lineRule="auto"/>
      </w:pPr>
      <w:r>
        <w:t>Over the period of 2006 to 2011, snow crab densities increased for all categories.</w:t>
      </w:r>
    </w:p>
    <w:p w14:paraId="133EB0BA" w14:textId="73F77A39" w:rsidR="0069331C" w:rsidRDefault="0069331C" w:rsidP="0069331C">
      <w:pPr>
        <w:pStyle w:val="ListParagraph"/>
        <w:numPr>
          <w:ilvl w:val="1"/>
          <w:numId w:val="4"/>
        </w:numPr>
        <w:spacing w:after="160" w:line="259" w:lineRule="auto"/>
      </w:pPr>
      <w:r>
        <w:t>In 2012, densities remained comparable to 2011, except for mature females which increased by more than 20%.</w:t>
      </w:r>
    </w:p>
    <w:p w14:paraId="7818DF4E" w14:textId="7224EC05" w:rsidR="0069331C" w:rsidRDefault="0069331C" w:rsidP="0069331C">
      <w:pPr>
        <w:pStyle w:val="ListParagraph"/>
        <w:numPr>
          <w:ilvl w:val="1"/>
          <w:numId w:val="4"/>
        </w:numPr>
        <w:spacing w:after="160" w:line="259" w:lineRule="auto"/>
      </w:pPr>
      <w:r>
        <w:t xml:space="preserve">In 2013, </w:t>
      </w:r>
      <w:r w:rsidR="00C87382">
        <w:t>densities for all categories decreased by significant amounts: ~45% for immature females, ~25% for mature females, ~20% for immature males, and X% for commercial males.</w:t>
      </w:r>
    </w:p>
    <w:p w14:paraId="0D7F6924" w14:textId="6393EEDD" w:rsidR="00C87382" w:rsidRDefault="00C87382" w:rsidP="0069331C">
      <w:pPr>
        <w:pStyle w:val="ListParagraph"/>
        <w:numPr>
          <w:ilvl w:val="1"/>
          <w:numId w:val="4"/>
        </w:numPr>
        <w:spacing w:after="160" w:line="259" w:lineRule="auto"/>
      </w:pPr>
      <w:r>
        <w:t>During the period from 2013 to 2018, immature females saw a large increase of ~45% in 2016. Mature females saw gradual increases of 5-10%, immature males saw moderate increases in 2014 and 2015, and a large increase of ~35% 2018.</w:t>
      </w:r>
    </w:p>
    <w:p w14:paraId="3A4993DF" w14:textId="77777777" w:rsidR="00C87382" w:rsidRDefault="00C87382" w:rsidP="0069331C">
      <w:pPr>
        <w:pStyle w:val="ListParagraph"/>
        <w:numPr>
          <w:ilvl w:val="1"/>
          <w:numId w:val="4"/>
        </w:numPr>
        <w:spacing w:after="160" w:line="259" w:lineRule="auto"/>
      </w:pPr>
      <w:r>
        <w:lastRenderedPageBreak/>
        <w:t>With the vessel change in 2019, densities saw large increases of almost 50% for immature females, almost 40% for mature females, 35% for immature males and X% for commercial males.</w:t>
      </w:r>
    </w:p>
    <w:p w14:paraId="3D3F8FEB" w14:textId="163EE01C" w:rsidR="00C87382" w:rsidRDefault="00C87382" w:rsidP="0069331C">
      <w:pPr>
        <w:pStyle w:val="ListParagraph"/>
        <w:numPr>
          <w:ilvl w:val="1"/>
          <w:numId w:val="4"/>
        </w:numPr>
        <w:spacing w:after="160" w:line="259" w:lineRule="auto"/>
      </w:pPr>
      <w:r>
        <w:t>Survey year 2020 saw moderate increases of ~10% for mature females and immature males.</w:t>
      </w:r>
    </w:p>
    <w:p w14:paraId="19B58C7C" w14:textId="11183227" w:rsidR="009F1800" w:rsidRPr="009F1800" w:rsidRDefault="009F1800" w:rsidP="009F1800">
      <w:pPr>
        <w:rPr>
          <w:rFonts w:ascii="Times New Roman" w:eastAsia="Times New Roman" w:hAnsi="Times New Roman" w:cs="Times New Roman"/>
          <w:sz w:val="20"/>
          <w:szCs w:val="20"/>
          <w:lang w:val="en-CA"/>
        </w:rPr>
      </w:pPr>
    </w:p>
    <w:p w14:paraId="2DA2C516" w14:textId="77777777" w:rsidR="0043701B" w:rsidRDefault="0043701B" w:rsidP="009C1481">
      <w:pPr>
        <w:spacing w:after="160" w:line="259" w:lineRule="auto"/>
      </w:pPr>
      <w:bookmarkStart w:id="0" w:name="_GoBack"/>
      <w:bookmarkEnd w:id="0"/>
    </w:p>
    <w:p w14:paraId="586F9CE8" w14:textId="77777777" w:rsidR="0043701B" w:rsidRDefault="0043701B" w:rsidP="009C1481">
      <w:pPr>
        <w:spacing w:after="160" w:line="259" w:lineRule="auto"/>
      </w:pPr>
    </w:p>
    <w:p w14:paraId="3E9A1803" w14:textId="77777777" w:rsidR="0043701B" w:rsidRDefault="0043701B" w:rsidP="009C1481">
      <w:pPr>
        <w:spacing w:after="160" w:line="259" w:lineRule="auto"/>
      </w:pPr>
    </w:p>
    <w:p w14:paraId="069786B6" w14:textId="286C9872" w:rsidR="003A1882" w:rsidRDefault="003A1882">
      <w:pPr>
        <w:rPr>
          <w:b/>
        </w:rPr>
      </w:pPr>
    </w:p>
    <w:p w14:paraId="246CD192" w14:textId="74E46B7F" w:rsidR="003A1882" w:rsidRDefault="003A1882" w:rsidP="003A1882">
      <w:r w:rsidRPr="00B83E10">
        <w:rPr>
          <w:b/>
        </w:rPr>
        <w:t xml:space="preserve">Table </w:t>
      </w:r>
      <w:r>
        <w:rPr>
          <w:b/>
        </w:rPr>
        <w:t>1</w:t>
      </w:r>
      <w:r>
        <w:t xml:space="preserve"> : Summary of survey stations having a fixed or new location relative to the those of the previous survey year. For the time period prior to 2012, new tows were labelled as such if the distance from its </w:t>
      </w:r>
      <w:proofErr w:type="spellStart"/>
      <w:r>
        <w:t>center</w:t>
      </w:r>
      <w:proofErr w:type="spellEnd"/>
      <w:r>
        <w:t xml:space="preserve"> point was more than 1.5 km of the previous year’s station. Also shown if the total number of rejected tows.</w:t>
      </w:r>
    </w:p>
    <w:p w14:paraId="79FCE889" w14:textId="77777777" w:rsidR="003A1882" w:rsidRDefault="003A1882" w:rsidP="003A1882"/>
    <w:tbl>
      <w:tblPr>
        <w:tblW w:w="10030" w:type="dxa"/>
        <w:jc w:val="center"/>
        <w:tblLayout w:type="fixed"/>
        <w:tblLook w:val="04A0" w:firstRow="1" w:lastRow="0" w:firstColumn="1" w:lastColumn="0" w:noHBand="0" w:noVBand="1"/>
      </w:tblPr>
      <w:tblGrid>
        <w:gridCol w:w="710"/>
        <w:gridCol w:w="1597"/>
        <w:gridCol w:w="639"/>
        <w:gridCol w:w="639"/>
        <w:gridCol w:w="639"/>
        <w:gridCol w:w="833"/>
        <w:gridCol w:w="883"/>
        <w:gridCol w:w="1623"/>
        <w:gridCol w:w="2467"/>
      </w:tblGrid>
      <w:tr w:rsidR="001A63C6" w:rsidRPr="009D0B22" w14:paraId="3CE6EAD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DB08BC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597" w:type="dxa"/>
            <w:tcBorders>
              <w:top w:val="nil"/>
              <w:left w:val="nil"/>
              <w:bottom w:val="nil"/>
              <w:right w:val="nil"/>
            </w:tcBorders>
            <w:shd w:val="clear" w:color="auto" w:fill="auto"/>
            <w:noWrap/>
            <w:vAlign w:val="center"/>
            <w:hideMark/>
          </w:tcPr>
          <w:p w14:paraId="78EF44E7" w14:textId="77777777" w:rsidR="00AA2457" w:rsidRPr="001A63C6" w:rsidRDefault="00AA2457" w:rsidP="001A63C6">
            <w:pPr>
              <w:jc w:val="center"/>
              <w:rPr>
                <w:rFonts w:ascii="Times New Roman" w:eastAsia="Times New Roman" w:hAnsi="Times New Roman" w:cs="Times New Roman"/>
                <w:sz w:val="18"/>
                <w:szCs w:val="18"/>
                <w:lang w:eastAsia="en-CA"/>
              </w:rPr>
            </w:pPr>
          </w:p>
        </w:tc>
        <w:tc>
          <w:tcPr>
            <w:tcW w:w="1917" w:type="dxa"/>
            <w:gridSpan w:val="3"/>
            <w:tcBorders>
              <w:top w:val="nil"/>
              <w:left w:val="nil"/>
              <w:bottom w:val="nil"/>
              <w:right w:val="nil"/>
            </w:tcBorders>
            <w:shd w:val="clear" w:color="auto" w:fill="auto"/>
            <w:noWrap/>
            <w:vAlign w:val="center"/>
            <w:hideMark/>
          </w:tcPr>
          <w:p w14:paraId="0E335C9D"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Stations</w:t>
            </w:r>
          </w:p>
        </w:tc>
        <w:tc>
          <w:tcPr>
            <w:tcW w:w="833" w:type="dxa"/>
            <w:tcBorders>
              <w:top w:val="nil"/>
              <w:left w:val="nil"/>
              <w:bottom w:val="nil"/>
              <w:right w:val="nil"/>
            </w:tcBorders>
            <w:shd w:val="clear" w:color="auto" w:fill="auto"/>
            <w:noWrap/>
            <w:vAlign w:val="center"/>
          </w:tcPr>
          <w:p w14:paraId="6374AEE7" w14:textId="77777777" w:rsidR="00AA2457" w:rsidRPr="001A63C6" w:rsidRDefault="00AA2457" w:rsidP="001A63C6">
            <w:pPr>
              <w:jc w:val="center"/>
              <w:rPr>
                <w:rFonts w:ascii="Calibri" w:eastAsia="Times New Roman" w:hAnsi="Calibri" w:cs="Calibri"/>
                <w:b/>
                <w:bCs/>
                <w:color w:val="000000"/>
                <w:sz w:val="18"/>
                <w:szCs w:val="18"/>
                <w:lang w:eastAsia="en-CA"/>
              </w:rPr>
            </w:pPr>
          </w:p>
        </w:tc>
        <w:tc>
          <w:tcPr>
            <w:tcW w:w="883" w:type="dxa"/>
            <w:tcBorders>
              <w:top w:val="nil"/>
              <w:left w:val="nil"/>
              <w:bottom w:val="nil"/>
              <w:right w:val="nil"/>
            </w:tcBorders>
            <w:vAlign w:val="center"/>
          </w:tcPr>
          <w:p w14:paraId="720AA058" w14:textId="79E40E06" w:rsidR="00AA2457" w:rsidRPr="001A63C6" w:rsidRDefault="001A63C6" w:rsidP="001A63C6">
            <w:pPr>
              <w:jc w:val="center"/>
              <w:rPr>
                <w:rFonts w:ascii="Times New Roman" w:eastAsia="Times New Roman" w:hAnsi="Times New Roman" w:cs="Times New Roman"/>
                <w:sz w:val="18"/>
                <w:szCs w:val="18"/>
                <w:lang w:eastAsia="en-CA"/>
              </w:rPr>
            </w:pPr>
            <w:r w:rsidRPr="001A63C6">
              <w:rPr>
                <w:rFonts w:ascii="Calibri" w:eastAsia="Times New Roman" w:hAnsi="Calibri" w:cs="Calibri"/>
                <w:b/>
                <w:bCs/>
                <w:color w:val="000000"/>
                <w:sz w:val="18"/>
                <w:szCs w:val="18"/>
                <w:lang w:eastAsia="en-CA"/>
              </w:rPr>
              <w:t>Survey</w:t>
            </w:r>
          </w:p>
        </w:tc>
        <w:tc>
          <w:tcPr>
            <w:tcW w:w="1623" w:type="dxa"/>
            <w:tcBorders>
              <w:top w:val="nil"/>
              <w:left w:val="nil"/>
              <w:bottom w:val="nil"/>
              <w:right w:val="nil"/>
            </w:tcBorders>
            <w:shd w:val="clear" w:color="auto" w:fill="auto"/>
            <w:noWrap/>
            <w:vAlign w:val="center"/>
          </w:tcPr>
          <w:p w14:paraId="0E66B2C8" w14:textId="62DDCCE7" w:rsidR="00AA2457" w:rsidRPr="001A63C6" w:rsidRDefault="00AA2457" w:rsidP="001A63C6">
            <w:pPr>
              <w:jc w:val="center"/>
              <w:rPr>
                <w:rFonts w:ascii="Times New Roman" w:eastAsia="Times New Roman" w:hAnsi="Times New Roman" w:cs="Times New Roman"/>
                <w:sz w:val="18"/>
                <w:szCs w:val="18"/>
                <w:lang w:eastAsia="en-CA"/>
              </w:rPr>
            </w:pPr>
          </w:p>
        </w:tc>
        <w:tc>
          <w:tcPr>
            <w:tcW w:w="2467" w:type="dxa"/>
            <w:tcBorders>
              <w:top w:val="nil"/>
              <w:left w:val="nil"/>
              <w:bottom w:val="nil"/>
              <w:right w:val="nil"/>
            </w:tcBorders>
            <w:shd w:val="clear" w:color="auto" w:fill="auto"/>
            <w:noWrap/>
            <w:vAlign w:val="center"/>
            <w:hideMark/>
          </w:tcPr>
          <w:p w14:paraId="14E5547D" w14:textId="77777777" w:rsidR="00AA2457" w:rsidRPr="001A63C6" w:rsidRDefault="00AA2457" w:rsidP="001A63C6">
            <w:pPr>
              <w:jc w:val="center"/>
              <w:rPr>
                <w:rFonts w:ascii="Times New Roman" w:eastAsia="Times New Roman" w:hAnsi="Times New Roman" w:cs="Times New Roman"/>
                <w:sz w:val="18"/>
                <w:szCs w:val="18"/>
                <w:lang w:eastAsia="en-CA"/>
              </w:rPr>
            </w:pPr>
          </w:p>
        </w:tc>
      </w:tr>
      <w:tr w:rsidR="001A63C6" w:rsidRPr="009D0B22" w14:paraId="05DE7B01" w14:textId="77777777" w:rsidTr="001A63C6">
        <w:trPr>
          <w:trHeight w:val="270"/>
          <w:jc w:val="center"/>
        </w:trPr>
        <w:tc>
          <w:tcPr>
            <w:tcW w:w="710" w:type="dxa"/>
            <w:tcBorders>
              <w:top w:val="nil"/>
              <w:left w:val="nil"/>
              <w:bottom w:val="single" w:sz="8" w:space="0" w:color="auto"/>
              <w:right w:val="nil"/>
            </w:tcBorders>
            <w:shd w:val="clear" w:color="auto" w:fill="auto"/>
            <w:noWrap/>
            <w:vAlign w:val="center"/>
            <w:hideMark/>
          </w:tcPr>
          <w:p w14:paraId="01CD2DFB"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Year</w:t>
            </w:r>
          </w:p>
        </w:tc>
        <w:tc>
          <w:tcPr>
            <w:tcW w:w="1597" w:type="dxa"/>
            <w:tcBorders>
              <w:top w:val="nil"/>
              <w:left w:val="single" w:sz="4" w:space="0" w:color="auto"/>
              <w:bottom w:val="single" w:sz="8" w:space="0" w:color="auto"/>
              <w:right w:val="single" w:sz="4" w:space="0" w:color="auto"/>
            </w:tcBorders>
            <w:shd w:val="clear" w:color="auto" w:fill="auto"/>
            <w:noWrap/>
            <w:vAlign w:val="center"/>
            <w:hideMark/>
          </w:tcPr>
          <w:p w14:paraId="376995CE"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Vessel</w:t>
            </w:r>
          </w:p>
        </w:tc>
        <w:tc>
          <w:tcPr>
            <w:tcW w:w="639" w:type="dxa"/>
            <w:tcBorders>
              <w:top w:val="nil"/>
              <w:left w:val="nil"/>
              <w:bottom w:val="single" w:sz="8" w:space="0" w:color="auto"/>
              <w:right w:val="nil"/>
            </w:tcBorders>
            <w:shd w:val="clear" w:color="auto" w:fill="auto"/>
            <w:noWrap/>
            <w:vAlign w:val="center"/>
            <w:hideMark/>
          </w:tcPr>
          <w:p w14:paraId="68A4CC5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Fixed</w:t>
            </w:r>
          </w:p>
        </w:tc>
        <w:tc>
          <w:tcPr>
            <w:tcW w:w="639" w:type="dxa"/>
            <w:tcBorders>
              <w:top w:val="nil"/>
              <w:left w:val="nil"/>
              <w:bottom w:val="single" w:sz="8" w:space="0" w:color="auto"/>
              <w:right w:val="nil"/>
            </w:tcBorders>
            <w:shd w:val="clear" w:color="auto" w:fill="auto"/>
            <w:noWrap/>
            <w:vAlign w:val="center"/>
            <w:hideMark/>
          </w:tcPr>
          <w:p w14:paraId="1540018C"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New</w:t>
            </w:r>
          </w:p>
        </w:tc>
        <w:tc>
          <w:tcPr>
            <w:tcW w:w="639" w:type="dxa"/>
            <w:tcBorders>
              <w:top w:val="nil"/>
              <w:left w:val="nil"/>
              <w:bottom w:val="single" w:sz="8" w:space="0" w:color="auto"/>
              <w:right w:val="single" w:sz="4" w:space="0" w:color="auto"/>
            </w:tcBorders>
            <w:shd w:val="clear" w:color="auto" w:fill="auto"/>
            <w:noWrap/>
            <w:vAlign w:val="center"/>
            <w:hideMark/>
          </w:tcPr>
          <w:p w14:paraId="53880677"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Total</w:t>
            </w:r>
          </w:p>
        </w:tc>
        <w:tc>
          <w:tcPr>
            <w:tcW w:w="833" w:type="dxa"/>
            <w:tcBorders>
              <w:top w:val="nil"/>
              <w:left w:val="nil"/>
              <w:bottom w:val="single" w:sz="8" w:space="0" w:color="auto"/>
              <w:right w:val="nil"/>
            </w:tcBorders>
            <w:shd w:val="clear" w:color="auto" w:fill="auto"/>
            <w:noWrap/>
            <w:vAlign w:val="center"/>
            <w:hideMark/>
          </w:tcPr>
          <w:p w14:paraId="246CDC52"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Rejects</w:t>
            </w:r>
          </w:p>
        </w:tc>
        <w:tc>
          <w:tcPr>
            <w:tcW w:w="883" w:type="dxa"/>
            <w:tcBorders>
              <w:top w:val="nil"/>
              <w:left w:val="single" w:sz="4" w:space="0" w:color="auto"/>
              <w:bottom w:val="single" w:sz="8" w:space="0" w:color="auto"/>
              <w:right w:val="single" w:sz="4" w:space="0" w:color="auto"/>
            </w:tcBorders>
            <w:vAlign w:val="center"/>
          </w:tcPr>
          <w:p w14:paraId="152C47FA" w14:textId="76933B70"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Survey area</w:t>
            </w:r>
            <w:r w:rsidR="001A63C6" w:rsidRPr="001A63C6">
              <w:rPr>
                <w:rFonts w:ascii="Calibri" w:eastAsia="Times New Roman" w:hAnsi="Calibri" w:cs="Calibri"/>
                <w:b/>
                <w:bCs/>
                <w:color w:val="000000"/>
                <w:sz w:val="18"/>
                <w:szCs w:val="18"/>
                <w:lang w:eastAsia="en-CA"/>
              </w:rPr>
              <w:t xml:space="preserve"> (km</w:t>
            </w:r>
            <w:r w:rsidR="001A63C6" w:rsidRPr="001A63C6">
              <w:rPr>
                <w:rFonts w:ascii="Calibri" w:eastAsia="Times New Roman" w:hAnsi="Calibri" w:cs="Calibri"/>
                <w:b/>
                <w:bCs/>
                <w:color w:val="000000"/>
                <w:sz w:val="18"/>
                <w:szCs w:val="18"/>
                <w:vertAlign w:val="superscript"/>
                <w:lang w:eastAsia="en-CA"/>
              </w:rPr>
              <w:t>2</w:t>
            </w:r>
            <w:r w:rsidR="001A63C6" w:rsidRPr="001A63C6">
              <w:rPr>
                <w:rFonts w:ascii="Calibri" w:eastAsia="Times New Roman" w:hAnsi="Calibri" w:cs="Calibri"/>
                <w:b/>
                <w:bCs/>
                <w:color w:val="000000"/>
                <w:sz w:val="18"/>
                <w:szCs w:val="18"/>
                <w:lang w:eastAsia="en-CA"/>
              </w:rPr>
              <w:t>)</w:t>
            </w:r>
          </w:p>
        </w:tc>
        <w:tc>
          <w:tcPr>
            <w:tcW w:w="1623" w:type="dxa"/>
            <w:tcBorders>
              <w:top w:val="nil"/>
              <w:left w:val="single" w:sz="4" w:space="0" w:color="auto"/>
              <w:bottom w:val="single" w:sz="8" w:space="0" w:color="auto"/>
              <w:right w:val="single" w:sz="4" w:space="0" w:color="auto"/>
            </w:tcBorders>
            <w:shd w:val="clear" w:color="auto" w:fill="auto"/>
            <w:noWrap/>
            <w:vAlign w:val="center"/>
            <w:hideMark/>
          </w:tcPr>
          <w:p w14:paraId="7F4D0E80" w14:textId="1CB6356D"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Grid size</w:t>
            </w:r>
          </w:p>
        </w:tc>
        <w:tc>
          <w:tcPr>
            <w:tcW w:w="2467" w:type="dxa"/>
            <w:tcBorders>
              <w:top w:val="nil"/>
              <w:left w:val="nil"/>
              <w:bottom w:val="single" w:sz="8" w:space="0" w:color="auto"/>
              <w:right w:val="nil"/>
            </w:tcBorders>
            <w:shd w:val="clear" w:color="auto" w:fill="auto"/>
            <w:noWrap/>
            <w:vAlign w:val="center"/>
            <w:hideMark/>
          </w:tcPr>
          <w:p w14:paraId="4A32471A" w14:textId="77777777" w:rsidR="00AA2457" w:rsidRPr="001A63C6" w:rsidRDefault="00AA2457" w:rsidP="001A63C6">
            <w:pPr>
              <w:jc w:val="center"/>
              <w:rPr>
                <w:rFonts w:ascii="Calibri" w:eastAsia="Times New Roman" w:hAnsi="Calibri" w:cs="Calibri"/>
                <w:b/>
                <w:bCs/>
                <w:color w:val="000000"/>
                <w:sz w:val="18"/>
                <w:szCs w:val="18"/>
                <w:lang w:eastAsia="en-CA"/>
              </w:rPr>
            </w:pPr>
            <w:r w:rsidRPr="001A63C6">
              <w:rPr>
                <w:rFonts w:ascii="Calibri" w:eastAsia="Times New Roman" w:hAnsi="Calibri" w:cs="Calibri"/>
                <w:b/>
                <w:bCs/>
                <w:color w:val="000000"/>
                <w:sz w:val="18"/>
                <w:szCs w:val="18"/>
                <w:lang w:eastAsia="en-CA"/>
              </w:rPr>
              <w:t>Comment</w:t>
            </w:r>
          </w:p>
        </w:tc>
      </w:tr>
      <w:tr w:rsidR="001A63C6" w:rsidRPr="009D0B22" w14:paraId="0A3DA17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3217E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1989</w:t>
            </w:r>
          </w:p>
        </w:tc>
        <w:tc>
          <w:tcPr>
            <w:tcW w:w="1597" w:type="dxa"/>
            <w:tcBorders>
              <w:top w:val="nil"/>
              <w:left w:val="single" w:sz="4" w:space="0" w:color="auto"/>
              <w:bottom w:val="nil"/>
              <w:right w:val="single" w:sz="4" w:space="0" w:color="auto"/>
            </w:tcBorders>
            <w:shd w:val="clear" w:color="auto" w:fill="auto"/>
            <w:noWrap/>
            <w:vAlign w:val="center"/>
            <w:hideMark/>
          </w:tcPr>
          <w:p w14:paraId="7701A37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EA0DA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63</w:t>
            </w:r>
          </w:p>
        </w:tc>
        <w:tc>
          <w:tcPr>
            <w:tcW w:w="639" w:type="dxa"/>
            <w:tcBorders>
              <w:top w:val="nil"/>
              <w:left w:val="nil"/>
              <w:bottom w:val="nil"/>
              <w:right w:val="nil"/>
            </w:tcBorders>
            <w:shd w:val="clear" w:color="auto" w:fill="auto"/>
            <w:noWrap/>
            <w:vAlign w:val="center"/>
            <w:hideMark/>
          </w:tcPr>
          <w:p w14:paraId="721AF40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639" w:type="dxa"/>
            <w:tcBorders>
              <w:top w:val="nil"/>
              <w:left w:val="nil"/>
              <w:bottom w:val="nil"/>
              <w:right w:val="single" w:sz="4" w:space="0" w:color="auto"/>
            </w:tcBorders>
            <w:shd w:val="clear" w:color="auto" w:fill="auto"/>
            <w:noWrap/>
            <w:vAlign w:val="center"/>
            <w:hideMark/>
          </w:tcPr>
          <w:p w14:paraId="0F1045A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155</w:t>
            </w:r>
          </w:p>
        </w:tc>
        <w:tc>
          <w:tcPr>
            <w:tcW w:w="833" w:type="dxa"/>
            <w:tcBorders>
              <w:top w:val="nil"/>
              <w:left w:val="nil"/>
              <w:bottom w:val="nil"/>
              <w:right w:val="nil"/>
            </w:tcBorders>
            <w:shd w:val="clear" w:color="auto" w:fill="auto"/>
            <w:noWrap/>
            <w:vAlign w:val="center"/>
            <w:hideMark/>
          </w:tcPr>
          <w:p w14:paraId="7E4DBA0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nil"/>
              <w:right w:val="single" w:sz="4" w:space="0" w:color="auto"/>
            </w:tcBorders>
            <w:vAlign w:val="center"/>
          </w:tcPr>
          <w:p w14:paraId="3BC427D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E5FFD4" w14:textId="5ED2103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094098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27BA3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968E30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1990</w:t>
            </w:r>
          </w:p>
        </w:tc>
        <w:tc>
          <w:tcPr>
            <w:tcW w:w="1597" w:type="dxa"/>
            <w:tcBorders>
              <w:top w:val="nil"/>
              <w:left w:val="single" w:sz="4" w:space="0" w:color="auto"/>
              <w:bottom w:val="nil"/>
              <w:right w:val="single" w:sz="4" w:space="0" w:color="auto"/>
            </w:tcBorders>
            <w:shd w:val="clear" w:color="auto" w:fill="auto"/>
            <w:noWrap/>
            <w:vAlign w:val="center"/>
            <w:hideMark/>
          </w:tcPr>
          <w:p w14:paraId="47DB0466"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38448A0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nil"/>
            </w:tcBorders>
            <w:shd w:val="clear" w:color="auto" w:fill="auto"/>
            <w:noWrap/>
            <w:vAlign w:val="center"/>
            <w:hideMark/>
          </w:tcPr>
          <w:p w14:paraId="386F37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172</w:t>
            </w:r>
          </w:p>
        </w:tc>
        <w:tc>
          <w:tcPr>
            <w:tcW w:w="639" w:type="dxa"/>
            <w:tcBorders>
              <w:top w:val="nil"/>
              <w:left w:val="nil"/>
              <w:bottom w:val="nil"/>
              <w:right w:val="single" w:sz="4" w:space="0" w:color="auto"/>
            </w:tcBorders>
            <w:shd w:val="clear" w:color="auto" w:fill="auto"/>
            <w:noWrap/>
            <w:vAlign w:val="center"/>
            <w:hideMark/>
          </w:tcPr>
          <w:p w14:paraId="1DA1F27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212</w:t>
            </w:r>
          </w:p>
        </w:tc>
        <w:tc>
          <w:tcPr>
            <w:tcW w:w="833" w:type="dxa"/>
            <w:tcBorders>
              <w:top w:val="nil"/>
              <w:left w:val="nil"/>
              <w:bottom w:val="nil"/>
              <w:right w:val="nil"/>
            </w:tcBorders>
            <w:shd w:val="clear" w:color="auto" w:fill="auto"/>
            <w:noWrap/>
            <w:vAlign w:val="center"/>
            <w:hideMark/>
          </w:tcPr>
          <w:p w14:paraId="68E0333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43</w:t>
            </w:r>
          </w:p>
        </w:tc>
        <w:tc>
          <w:tcPr>
            <w:tcW w:w="883" w:type="dxa"/>
            <w:tcBorders>
              <w:top w:val="nil"/>
              <w:left w:val="single" w:sz="4" w:space="0" w:color="auto"/>
              <w:bottom w:val="nil"/>
              <w:right w:val="single" w:sz="4" w:space="0" w:color="auto"/>
            </w:tcBorders>
            <w:vAlign w:val="center"/>
          </w:tcPr>
          <w:p w14:paraId="1592DEE1"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C18EF2F" w14:textId="6F39C04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39CDF19"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7AD1E5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1ECA2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1991</w:t>
            </w:r>
          </w:p>
        </w:tc>
        <w:tc>
          <w:tcPr>
            <w:tcW w:w="1597" w:type="dxa"/>
            <w:tcBorders>
              <w:top w:val="nil"/>
              <w:left w:val="single" w:sz="4" w:space="0" w:color="auto"/>
              <w:bottom w:val="nil"/>
              <w:right w:val="single" w:sz="4" w:space="0" w:color="auto"/>
            </w:tcBorders>
            <w:shd w:val="clear" w:color="auto" w:fill="auto"/>
            <w:noWrap/>
            <w:vAlign w:val="center"/>
            <w:hideMark/>
          </w:tcPr>
          <w:p w14:paraId="5F3E50FF"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74B6392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639" w:type="dxa"/>
            <w:tcBorders>
              <w:top w:val="nil"/>
              <w:left w:val="nil"/>
              <w:bottom w:val="nil"/>
              <w:right w:val="nil"/>
            </w:tcBorders>
            <w:shd w:val="clear" w:color="auto" w:fill="auto"/>
            <w:noWrap/>
            <w:vAlign w:val="center"/>
            <w:hideMark/>
          </w:tcPr>
          <w:p w14:paraId="0DBA6F7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159</w:t>
            </w:r>
          </w:p>
        </w:tc>
        <w:tc>
          <w:tcPr>
            <w:tcW w:w="639" w:type="dxa"/>
            <w:tcBorders>
              <w:top w:val="nil"/>
              <w:left w:val="nil"/>
              <w:bottom w:val="nil"/>
              <w:right w:val="single" w:sz="4" w:space="0" w:color="auto"/>
            </w:tcBorders>
            <w:shd w:val="clear" w:color="auto" w:fill="auto"/>
            <w:noWrap/>
            <w:vAlign w:val="center"/>
            <w:hideMark/>
          </w:tcPr>
          <w:p w14:paraId="445234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215</w:t>
            </w:r>
          </w:p>
        </w:tc>
        <w:tc>
          <w:tcPr>
            <w:tcW w:w="833" w:type="dxa"/>
            <w:tcBorders>
              <w:top w:val="nil"/>
              <w:left w:val="nil"/>
              <w:bottom w:val="nil"/>
              <w:right w:val="nil"/>
            </w:tcBorders>
            <w:shd w:val="clear" w:color="auto" w:fill="auto"/>
            <w:noWrap/>
            <w:vAlign w:val="center"/>
            <w:hideMark/>
          </w:tcPr>
          <w:p w14:paraId="20BF2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w:t>
            </w:r>
          </w:p>
        </w:tc>
        <w:tc>
          <w:tcPr>
            <w:tcW w:w="883" w:type="dxa"/>
            <w:tcBorders>
              <w:top w:val="nil"/>
              <w:left w:val="single" w:sz="4" w:space="0" w:color="auto"/>
              <w:bottom w:val="nil"/>
              <w:right w:val="single" w:sz="4" w:space="0" w:color="auto"/>
            </w:tcBorders>
            <w:vAlign w:val="center"/>
          </w:tcPr>
          <w:p w14:paraId="62F28FA5"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5F511A97" w14:textId="3E7D2B4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575EA5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New survey stations</w:t>
            </w:r>
          </w:p>
        </w:tc>
      </w:tr>
      <w:tr w:rsidR="001A63C6" w:rsidRPr="009D0B22" w14:paraId="52268EA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771FC0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1992</w:t>
            </w:r>
          </w:p>
        </w:tc>
        <w:tc>
          <w:tcPr>
            <w:tcW w:w="1597" w:type="dxa"/>
            <w:tcBorders>
              <w:top w:val="nil"/>
              <w:left w:val="single" w:sz="4" w:space="0" w:color="auto"/>
              <w:bottom w:val="nil"/>
              <w:right w:val="single" w:sz="4" w:space="0" w:color="auto"/>
            </w:tcBorders>
            <w:shd w:val="clear" w:color="auto" w:fill="auto"/>
            <w:noWrap/>
            <w:vAlign w:val="center"/>
            <w:hideMark/>
          </w:tcPr>
          <w:p w14:paraId="5ADE34CA"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99C15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59</w:t>
            </w:r>
          </w:p>
        </w:tc>
        <w:tc>
          <w:tcPr>
            <w:tcW w:w="639" w:type="dxa"/>
            <w:tcBorders>
              <w:top w:val="nil"/>
              <w:left w:val="nil"/>
              <w:bottom w:val="nil"/>
              <w:right w:val="nil"/>
            </w:tcBorders>
            <w:shd w:val="clear" w:color="auto" w:fill="auto"/>
            <w:noWrap/>
            <w:vAlign w:val="center"/>
            <w:hideMark/>
          </w:tcPr>
          <w:p w14:paraId="13F4B3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174</w:t>
            </w:r>
          </w:p>
        </w:tc>
        <w:tc>
          <w:tcPr>
            <w:tcW w:w="639" w:type="dxa"/>
            <w:tcBorders>
              <w:top w:val="nil"/>
              <w:left w:val="nil"/>
              <w:bottom w:val="nil"/>
              <w:right w:val="single" w:sz="4" w:space="0" w:color="auto"/>
            </w:tcBorders>
            <w:shd w:val="clear" w:color="auto" w:fill="auto"/>
            <w:noWrap/>
            <w:vAlign w:val="center"/>
            <w:hideMark/>
          </w:tcPr>
          <w:p w14:paraId="2D9E80D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233</w:t>
            </w:r>
          </w:p>
        </w:tc>
        <w:tc>
          <w:tcPr>
            <w:tcW w:w="833" w:type="dxa"/>
            <w:tcBorders>
              <w:top w:val="nil"/>
              <w:left w:val="nil"/>
              <w:bottom w:val="nil"/>
              <w:right w:val="nil"/>
            </w:tcBorders>
            <w:shd w:val="clear" w:color="auto" w:fill="auto"/>
            <w:noWrap/>
            <w:vAlign w:val="center"/>
            <w:hideMark/>
          </w:tcPr>
          <w:p w14:paraId="34C1956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w:t>
            </w:r>
          </w:p>
        </w:tc>
        <w:tc>
          <w:tcPr>
            <w:tcW w:w="883" w:type="dxa"/>
            <w:tcBorders>
              <w:top w:val="nil"/>
              <w:left w:val="single" w:sz="4" w:space="0" w:color="auto"/>
              <w:bottom w:val="nil"/>
              <w:right w:val="single" w:sz="4" w:space="0" w:color="auto"/>
            </w:tcBorders>
            <w:vAlign w:val="center"/>
          </w:tcPr>
          <w:p w14:paraId="0423903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18CFCA4" w14:textId="0E7D9E0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C4D4DB"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453A53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C3B91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1993</w:t>
            </w:r>
          </w:p>
        </w:tc>
        <w:tc>
          <w:tcPr>
            <w:tcW w:w="1597" w:type="dxa"/>
            <w:tcBorders>
              <w:top w:val="nil"/>
              <w:left w:val="single" w:sz="4" w:space="0" w:color="auto"/>
              <w:bottom w:val="nil"/>
              <w:right w:val="single" w:sz="4" w:space="0" w:color="auto"/>
            </w:tcBorders>
            <w:shd w:val="clear" w:color="auto" w:fill="auto"/>
            <w:noWrap/>
            <w:vAlign w:val="center"/>
            <w:hideMark/>
          </w:tcPr>
          <w:p w14:paraId="04530BEE"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0FD5E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122</w:t>
            </w:r>
          </w:p>
        </w:tc>
        <w:tc>
          <w:tcPr>
            <w:tcW w:w="639" w:type="dxa"/>
            <w:tcBorders>
              <w:top w:val="nil"/>
              <w:left w:val="nil"/>
              <w:bottom w:val="nil"/>
              <w:right w:val="nil"/>
            </w:tcBorders>
            <w:shd w:val="clear" w:color="auto" w:fill="auto"/>
            <w:noWrap/>
            <w:vAlign w:val="center"/>
            <w:hideMark/>
          </w:tcPr>
          <w:p w14:paraId="131132C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86</w:t>
            </w:r>
          </w:p>
        </w:tc>
        <w:tc>
          <w:tcPr>
            <w:tcW w:w="639" w:type="dxa"/>
            <w:tcBorders>
              <w:top w:val="nil"/>
              <w:left w:val="nil"/>
              <w:bottom w:val="nil"/>
              <w:right w:val="single" w:sz="4" w:space="0" w:color="auto"/>
            </w:tcBorders>
            <w:shd w:val="clear" w:color="auto" w:fill="auto"/>
            <w:noWrap/>
            <w:vAlign w:val="center"/>
            <w:hideMark/>
          </w:tcPr>
          <w:p w14:paraId="15D653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208</w:t>
            </w:r>
          </w:p>
        </w:tc>
        <w:tc>
          <w:tcPr>
            <w:tcW w:w="833" w:type="dxa"/>
            <w:tcBorders>
              <w:top w:val="nil"/>
              <w:left w:val="nil"/>
              <w:bottom w:val="nil"/>
              <w:right w:val="nil"/>
            </w:tcBorders>
            <w:shd w:val="clear" w:color="auto" w:fill="auto"/>
            <w:noWrap/>
            <w:vAlign w:val="center"/>
            <w:hideMark/>
          </w:tcPr>
          <w:p w14:paraId="5A509B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883" w:type="dxa"/>
            <w:tcBorders>
              <w:top w:val="nil"/>
              <w:left w:val="single" w:sz="4" w:space="0" w:color="auto"/>
              <w:bottom w:val="nil"/>
              <w:right w:val="single" w:sz="4" w:space="0" w:color="auto"/>
            </w:tcBorders>
            <w:vAlign w:val="center"/>
          </w:tcPr>
          <w:p w14:paraId="252E3C5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15870B0" w14:textId="63614202"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8E7EBF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A159FE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7F603F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1994</w:t>
            </w:r>
          </w:p>
        </w:tc>
        <w:tc>
          <w:tcPr>
            <w:tcW w:w="1597" w:type="dxa"/>
            <w:tcBorders>
              <w:top w:val="nil"/>
              <w:left w:val="single" w:sz="4" w:space="0" w:color="auto"/>
              <w:bottom w:val="nil"/>
              <w:right w:val="single" w:sz="4" w:space="0" w:color="auto"/>
            </w:tcBorders>
            <w:shd w:val="clear" w:color="auto" w:fill="auto"/>
            <w:noWrap/>
            <w:vAlign w:val="center"/>
            <w:hideMark/>
          </w:tcPr>
          <w:p w14:paraId="64025A5D"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4951A0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128</w:t>
            </w:r>
          </w:p>
        </w:tc>
        <w:tc>
          <w:tcPr>
            <w:tcW w:w="639" w:type="dxa"/>
            <w:tcBorders>
              <w:top w:val="nil"/>
              <w:left w:val="nil"/>
              <w:bottom w:val="nil"/>
              <w:right w:val="nil"/>
            </w:tcBorders>
            <w:shd w:val="clear" w:color="auto" w:fill="auto"/>
            <w:noWrap/>
            <w:vAlign w:val="center"/>
            <w:hideMark/>
          </w:tcPr>
          <w:p w14:paraId="5B951A8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w:t>
            </w:r>
          </w:p>
        </w:tc>
        <w:tc>
          <w:tcPr>
            <w:tcW w:w="639" w:type="dxa"/>
            <w:tcBorders>
              <w:top w:val="nil"/>
              <w:left w:val="nil"/>
              <w:bottom w:val="nil"/>
              <w:right w:val="single" w:sz="4" w:space="0" w:color="auto"/>
            </w:tcBorders>
            <w:shd w:val="clear" w:color="auto" w:fill="auto"/>
            <w:noWrap/>
            <w:vAlign w:val="center"/>
            <w:hideMark/>
          </w:tcPr>
          <w:p w14:paraId="0227512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39615A8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23</w:t>
            </w:r>
          </w:p>
        </w:tc>
        <w:tc>
          <w:tcPr>
            <w:tcW w:w="883" w:type="dxa"/>
            <w:tcBorders>
              <w:top w:val="nil"/>
              <w:left w:val="single" w:sz="4" w:space="0" w:color="auto"/>
              <w:bottom w:val="nil"/>
              <w:right w:val="single" w:sz="4" w:space="0" w:color="auto"/>
            </w:tcBorders>
            <w:vAlign w:val="center"/>
          </w:tcPr>
          <w:p w14:paraId="0651A129"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66D9BAB7" w14:textId="79CE9C5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9DCE3A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7875A6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AA564B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1995</w:t>
            </w:r>
          </w:p>
        </w:tc>
        <w:tc>
          <w:tcPr>
            <w:tcW w:w="1597" w:type="dxa"/>
            <w:tcBorders>
              <w:top w:val="nil"/>
              <w:left w:val="single" w:sz="4" w:space="0" w:color="auto"/>
              <w:bottom w:val="nil"/>
              <w:right w:val="single" w:sz="4" w:space="0" w:color="auto"/>
            </w:tcBorders>
            <w:shd w:val="clear" w:color="auto" w:fill="auto"/>
            <w:noWrap/>
            <w:vAlign w:val="center"/>
            <w:hideMark/>
          </w:tcPr>
          <w:p w14:paraId="6616D3D1"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14C8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152</w:t>
            </w:r>
          </w:p>
        </w:tc>
        <w:tc>
          <w:tcPr>
            <w:tcW w:w="639" w:type="dxa"/>
            <w:tcBorders>
              <w:top w:val="nil"/>
              <w:left w:val="nil"/>
              <w:bottom w:val="nil"/>
              <w:right w:val="nil"/>
            </w:tcBorders>
            <w:shd w:val="clear" w:color="auto" w:fill="auto"/>
            <w:noWrap/>
            <w:vAlign w:val="center"/>
            <w:hideMark/>
          </w:tcPr>
          <w:p w14:paraId="7BB9E7C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109</w:t>
            </w:r>
          </w:p>
        </w:tc>
        <w:tc>
          <w:tcPr>
            <w:tcW w:w="639" w:type="dxa"/>
            <w:tcBorders>
              <w:top w:val="nil"/>
              <w:left w:val="nil"/>
              <w:bottom w:val="nil"/>
              <w:right w:val="single" w:sz="4" w:space="0" w:color="auto"/>
            </w:tcBorders>
            <w:shd w:val="clear" w:color="auto" w:fill="auto"/>
            <w:noWrap/>
            <w:vAlign w:val="center"/>
            <w:hideMark/>
          </w:tcPr>
          <w:p w14:paraId="25FE1F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nil"/>
              <w:right w:val="nil"/>
            </w:tcBorders>
            <w:shd w:val="clear" w:color="auto" w:fill="auto"/>
            <w:noWrap/>
            <w:vAlign w:val="center"/>
            <w:hideMark/>
          </w:tcPr>
          <w:p w14:paraId="210E39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17CF59FA"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39C18B78" w14:textId="04A061A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110408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7187AB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EA3C41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1996</w:t>
            </w:r>
          </w:p>
        </w:tc>
        <w:tc>
          <w:tcPr>
            <w:tcW w:w="1597" w:type="dxa"/>
            <w:tcBorders>
              <w:top w:val="nil"/>
              <w:left w:val="single" w:sz="4" w:space="0" w:color="auto"/>
              <w:bottom w:val="nil"/>
              <w:right w:val="single" w:sz="4" w:space="0" w:color="auto"/>
            </w:tcBorders>
            <w:shd w:val="clear" w:color="auto" w:fill="auto"/>
            <w:noWrap/>
            <w:vAlign w:val="center"/>
            <w:hideMark/>
          </w:tcPr>
          <w:p w14:paraId="0BA743E9"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2AE4F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639" w:type="dxa"/>
            <w:tcBorders>
              <w:top w:val="nil"/>
              <w:left w:val="nil"/>
              <w:bottom w:val="nil"/>
              <w:right w:val="nil"/>
            </w:tcBorders>
            <w:shd w:val="clear" w:color="auto" w:fill="auto"/>
            <w:noWrap/>
            <w:vAlign w:val="center"/>
            <w:hideMark/>
          </w:tcPr>
          <w:p w14:paraId="2DF288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w:t>
            </w:r>
          </w:p>
        </w:tc>
        <w:tc>
          <w:tcPr>
            <w:tcW w:w="639" w:type="dxa"/>
            <w:tcBorders>
              <w:top w:val="nil"/>
              <w:left w:val="nil"/>
              <w:bottom w:val="nil"/>
              <w:right w:val="single" w:sz="4" w:space="0" w:color="auto"/>
            </w:tcBorders>
            <w:shd w:val="clear" w:color="auto" w:fill="auto"/>
            <w:noWrap/>
            <w:vAlign w:val="center"/>
            <w:hideMark/>
          </w:tcPr>
          <w:p w14:paraId="4C6D1E3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833" w:type="dxa"/>
            <w:tcBorders>
              <w:top w:val="nil"/>
              <w:left w:val="nil"/>
              <w:bottom w:val="nil"/>
              <w:right w:val="nil"/>
            </w:tcBorders>
            <w:shd w:val="clear" w:color="auto" w:fill="auto"/>
            <w:noWrap/>
            <w:vAlign w:val="center"/>
            <w:hideMark/>
          </w:tcPr>
          <w:p w14:paraId="112C855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w:t>
            </w:r>
          </w:p>
        </w:tc>
        <w:tc>
          <w:tcPr>
            <w:tcW w:w="883" w:type="dxa"/>
            <w:tcBorders>
              <w:top w:val="nil"/>
              <w:left w:val="single" w:sz="4" w:space="0" w:color="auto"/>
              <w:bottom w:val="nil"/>
              <w:right w:val="single" w:sz="4" w:space="0" w:color="auto"/>
            </w:tcBorders>
            <w:vAlign w:val="center"/>
          </w:tcPr>
          <w:p w14:paraId="1E317FB6"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740402EA" w14:textId="08BB8D89"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8F0C092" w14:textId="05B2BC8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Partial survey</w:t>
            </w:r>
          </w:p>
        </w:tc>
      </w:tr>
      <w:tr w:rsidR="001A63C6" w:rsidRPr="009D0B22" w14:paraId="0AD013BF"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1291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1997</w:t>
            </w:r>
          </w:p>
        </w:tc>
        <w:tc>
          <w:tcPr>
            <w:tcW w:w="1597" w:type="dxa"/>
            <w:tcBorders>
              <w:top w:val="nil"/>
              <w:left w:val="single" w:sz="4" w:space="0" w:color="auto"/>
              <w:bottom w:val="nil"/>
              <w:right w:val="single" w:sz="4" w:space="0" w:color="auto"/>
            </w:tcBorders>
            <w:shd w:val="clear" w:color="auto" w:fill="auto"/>
            <w:noWrap/>
            <w:vAlign w:val="center"/>
            <w:hideMark/>
          </w:tcPr>
          <w:p w14:paraId="511750C0"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nil"/>
              <w:right w:val="nil"/>
            </w:tcBorders>
            <w:shd w:val="clear" w:color="auto" w:fill="auto"/>
            <w:noWrap/>
            <w:vAlign w:val="center"/>
            <w:hideMark/>
          </w:tcPr>
          <w:p w14:paraId="0681C9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127</w:t>
            </w:r>
          </w:p>
        </w:tc>
        <w:tc>
          <w:tcPr>
            <w:tcW w:w="639" w:type="dxa"/>
            <w:tcBorders>
              <w:top w:val="nil"/>
              <w:left w:val="nil"/>
              <w:bottom w:val="nil"/>
              <w:right w:val="nil"/>
            </w:tcBorders>
            <w:shd w:val="clear" w:color="auto" w:fill="auto"/>
            <w:noWrap/>
            <w:vAlign w:val="center"/>
            <w:hideMark/>
          </w:tcPr>
          <w:p w14:paraId="3C2258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132</w:t>
            </w:r>
          </w:p>
        </w:tc>
        <w:tc>
          <w:tcPr>
            <w:tcW w:w="639" w:type="dxa"/>
            <w:tcBorders>
              <w:top w:val="nil"/>
              <w:left w:val="nil"/>
              <w:bottom w:val="nil"/>
              <w:right w:val="single" w:sz="4" w:space="0" w:color="auto"/>
            </w:tcBorders>
            <w:shd w:val="clear" w:color="auto" w:fill="auto"/>
            <w:noWrap/>
            <w:vAlign w:val="center"/>
            <w:hideMark/>
          </w:tcPr>
          <w:p w14:paraId="0CAAD7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259</w:t>
            </w:r>
          </w:p>
        </w:tc>
        <w:tc>
          <w:tcPr>
            <w:tcW w:w="833" w:type="dxa"/>
            <w:tcBorders>
              <w:top w:val="nil"/>
              <w:left w:val="nil"/>
              <w:bottom w:val="nil"/>
              <w:right w:val="nil"/>
            </w:tcBorders>
            <w:shd w:val="clear" w:color="auto" w:fill="auto"/>
            <w:noWrap/>
            <w:vAlign w:val="center"/>
            <w:hideMark/>
          </w:tcPr>
          <w:p w14:paraId="1115A8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18</w:t>
            </w:r>
          </w:p>
        </w:tc>
        <w:tc>
          <w:tcPr>
            <w:tcW w:w="883" w:type="dxa"/>
            <w:tcBorders>
              <w:top w:val="nil"/>
              <w:left w:val="single" w:sz="4" w:space="0" w:color="auto"/>
              <w:bottom w:val="nil"/>
              <w:right w:val="single" w:sz="4" w:space="0" w:color="auto"/>
            </w:tcBorders>
            <w:vAlign w:val="center"/>
          </w:tcPr>
          <w:p w14:paraId="6B919E9C"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6DF2E64" w14:textId="6BFD32C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B035B3D" w14:textId="34F87DE9"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008FF5A"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6B923F0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6488FC08" w14:textId="77777777" w:rsidR="00AA2457" w:rsidRPr="001A63C6" w:rsidRDefault="00AA2457" w:rsidP="001A63C6">
            <w:pPr>
              <w:jc w:val="center"/>
              <w:rPr>
                <w:rFonts w:ascii="Calibri" w:eastAsia="Times New Roman" w:hAnsi="Calibri" w:cs="Calibri"/>
                <w:color w:val="000000"/>
                <w:sz w:val="18"/>
                <w:szCs w:val="18"/>
                <w:lang w:eastAsia="en-CA"/>
              </w:rPr>
            </w:pPr>
            <w:proofErr w:type="spellStart"/>
            <w:r w:rsidRPr="001A63C6">
              <w:rPr>
                <w:rFonts w:ascii="Calibri" w:eastAsia="Times New Roman" w:hAnsi="Calibri" w:cs="Calibri"/>
                <w:color w:val="000000"/>
                <w:sz w:val="18"/>
                <w:szCs w:val="18"/>
                <w:lang w:eastAsia="en-CA"/>
              </w:rPr>
              <w:t>Emy</w:t>
            </w:r>
            <w:proofErr w:type="spellEnd"/>
            <w:r w:rsidRPr="001A63C6">
              <w:rPr>
                <w:rFonts w:ascii="Calibri" w:eastAsia="Times New Roman" w:hAnsi="Calibri" w:cs="Calibri"/>
                <w:color w:val="000000"/>
                <w:sz w:val="18"/>
                <w:szCs w:val="18"/>
                <w:lang w:eastAsia="en-CA"/>
              </w:rPr>
              <w:t xml:space="preserve"> Serge</w:t>
            </w:r>
          </w:p>
        </w:tc>
        <w:tc>
          <w:tcPr>
            <w:tcW w:w="639" w:type="dxa"/>
            <w:tcBorders>
              <w:top w:val="nil"/>
              <w:left w:val="nil"/>
              <w:bottom w:val="single" w:sz="4" w:space="0" w:color="auto"/>
              <w:right w:val="nil"/>
            </w:tcBorders>
            <w:shd w:val="clear" w:color="auto" w:fill="auto"/>
            <w:noWrap/>
            <w:vAlign w:val="center"/>
            <w:hideMark/>
          </w:tcPr>
          <w:p w14:paraId="7639AEE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125</w:t>
            </w:r>
          </w:p>
        </w:tc>
        <w:tc>
          <w:tcPr>
            <w:tcW w:w="639" w:type="dxa"/>
            <w:tcBorders>
              <w:top w:val="nil"/>
              <w:left w:val="nil"/>
              <w:bottom w:val="single" w:sz="4" w:space="0" w:color="auto"/>
              <w:right w:val="nil"/>
            </w:tcBorders>
            <w:shd w:val="clear" w:color="auto" w:fill="auto"/>
            <w:noWrap/>
            <w:vAlign w:val="center"/>
            <w:hideMark/>
          </w:tcPr>
          <w:p w14:paraId="1DF882C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136</w:t>
            </w:r>
          </w:p>
        </w:tc>
        <w:tc>
          <w:tcPr>
            <w:tcW w:w="639" w:type="dxa"/>
            <w:tcBorders>
              <w:top w:val="nil"/>
              <w:left w:val="nil"/>
              <w:bottom w:val="single" w:sz="4" w:space="0" w:color="auto"/>
              <w:right w:val="single" w:sz="4" w:space="0" w:color="auto"/>
            </w:tcBorders>
            <w:shd w:val="clear" w:color="auto" w:fill="auto"/>
            <w:noWrap/>
            <w:vAlign w:val="center"/>
            <w:hideMark/>
          </w:tcPr>
          <w:p w14:paraId="61BDEDA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261</w:t>
            </w:r>
          </w:p>
        </w:tc>
        <w:tc>
          <w:tcPr>
            <w:tcW w:w="833" w:type="dxa"/>
            <w:tcBorders>
              <w:top w:val="nil"/>
              <w:left w:val="nil"/>
              <w:bottom w:val="single" w:sz="4" w:space="0" w:color="auto"/>
              <w:right w:val="nil"/>
            </w:tcBorders>
            <w:shd w:val="clear" w:color="auto" w:fill="auto"/>
            <w:noWrap/>
            <w:vAlign w:val="center"/>
            <w:hideMark/>
          </w:tcPr>
          <w:p w14:paraId="4E51EB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16</w:t>
            </w:r>
          </w:p>
        </w:tc>
        <w:tc>
          <w:tcPr>
            <w:tcW w:w="883" w:type="dxa"/>
            <w:tcBorders>
              <w:top w:val="nil"/>
              <w:left w:val="single" w:sz="4" w:space="0" w:color="auto"/>
              <w:bottom w:val="single" w:sz="4" w:space="0" w:color="auto"/>
              <w:right w:val="single" w:sz="4" w:space="0" w:color="auto"/>
            </w:tcBorders>
            <w:vAlign w:val="center"/>
          </w:tcPr>
          <w:p w14:paraId="32000668"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7B4B4A3" w14:textId="4C7EA80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2A829E8B" w14:textId="095C259C"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A8A076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4391D2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1999</w:t>
            </w:r>
          </w:p>
        </w:tc>
        <w:tc>
          <w:tcPr>
            <w:tcW w:w="1597" w:type="dxa"/>
            <w:tcBorders>
              <w:top w:val="nil"/>
              <w:left w:val="single" w:sz="4" w:space="0" w:color="auto"/>
              <w:bottom w:val="nil"/>
              <w:right w:val="single" w:sz="4" w:space="0" w:color="auto"/>
            </w:tcBorders>
            <w:shd w:val="clear" w:color="auto" w:fill="auto"/>
            <w:noWrap/>
            <w:vAlign w:val="center"/>
            <w:hideMark/>
          </w:tcPr>
          <w:p w14:paraId="3E1F312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4DADD83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151</w:t>
            </w:r>
          </w:p>
        </w:tc>
        <w:tc>
          <w:tcPr>
            <w:tcW w:w="639" w:type="dxa"/>
            <w:tcBorders>
              <w:top w:val="nil"/>
              <w:left w:val="nil"/>
              <w:bottom w:val="nil"/>
              <w:right w:val="nil"/>
            </w:tcBorders>
            <w:shd w:val="clear" w:color="auto" w:fill="auto"/>
            <w:noWrap/>
            <w:vAlign w:val="center"/>
            <w:hideMark/>
          </w:tcPr>
          <w:p w14:paraId="214DC76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w:t>
            </w:r>
          </w:p>
        </w:tc>
        <w:tc>
          <w:tcPr>
            <w:tcW w:w="639" w:type="dxa"/>
            <w:tcBorders>
              <w:top w:val="nil"/>
              <w:left w:val="nil"/>
              <w:bottom w:val="nil"/>
              <w:right w:val="single" w:sz="4" w:space="0" w:color="auto"/>
            </w:tcBorders>
            <w:shd w:val="clear" w:color="auto" w:fill="auto"/>
            <w:noWrap/>
            <w:vAlign w:val="center"/>
            <w:hideMark/>
          </w:tcPr>
          <w:p w14:paraId="3FE663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277</w:t>
            </w:r>
          </w:p>
        </w:tc>
        <w:tc>
          <w:tcPr>
            <w:tcW w:w="833" w:type="dxa"/>
            <w:tcBorders>
              <w:top w:val="nil"/>
              <w:left w:val="nil"/>
              <w:bottom w:val="nil"/>
              <w:right w:val="nil"/>
            </w:tcBorders>
            <w:shd w:val="clear" w:color="auto" w:fill="auto"/>
            <w:noWrap/>
            <w:vAlign w:val="center"/>
            <w:hideMark/>
          </w:tcPr>
          <w:p w14:paraId="0479682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6A1B7453"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09CC5CE" w14:textId="460287AB"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595D476D"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2894B9C"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C4AB5F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2000</w:t>
            </w:r>
          </w:p>
        </w:tc>
        <w:tc>
          <w:tcPr>
            <w:tcW w:w="1597" w:type="dxa"/>
            <w:tcBorders>
              <w:top w:val="nil"/>
              <w:left w:val="single" w:sz="4" w:space="0" w:color="auto"/>
              <w:bottom w:val="nil"/>
              <w:right w:val="single" w:sz="4" w:space="0" w:color="auto"/>
            </w:tcBorders>
            <w:shd w:val="clear" w:color="auto" w:fill="auto"/>
            <w:noWrap/>
            <w:vAlign w:val="center"/>
            <w:hideMark/>
          </w:tcPr>
          <w:p w14:paraId="69346D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1B68D2D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255</w:t>
            </w:r>
          </w:p>
        </w:tc>
        <w:tc>
          <w:tcPr>
            <w:tcW w:w="639" w:type="dxa"/>
            <w:tcBorders>
              <w:top w:val="nil"/>
              <w:left w:val="nil"/>
              <w:bottom w:val="nil"/>
              <w:right w:val="nil"/>
            </w:tcBorders>
            <w:shd w:val="clear" w:color="auto" w:fill="auto"/>
            <w:noWrap/>
            <w:vAlign w:val="center"/>
            <w:hideMark/>
          </w:tcPr>
          <w:p w14:paraId="1F6E5E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25</w:t>
            </w:r>
          </w:p>
        </w:tc>
        <w:tc>
          <w:tcPr>
            <w:tcW w:w="639" w:type="dxa"/>
            <w:tcBorders>
              <w:top w:val="nil"/>
              <w:left w:val="nil"/>
              <w:bottom w:val="nil"/>
              <w:right w:val="single" w:sz="4" w:space="0" w:color="auto"/>
            </w:tcBorders>
            <w:shd w:val="clear" w:color="auto" w:fill="auto"/>
            <w:noWrap/>
            <w:vAlign w:val="center"/>
            <w:hideMark/>
          </w:tcPr>
          <w:p w14:paraId="683E458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280</w:t>
            </w:r>
          </w:p>
        </w:tc>
        <w:tc>
          <w:tcPr>
            <w:tcW w:w="833" w:type="dxa"/>
            <w:tcBorders>
              <w:top w:val="nil"/>
              <w:left w:val="nil"/>
              <w:bottom w:val="nil"/>
              <w:right w:val="nil"/>
            </w:tcBorders>
            <w:shd w:val="clear" w:color="auto" w:fill="auto"/>
            <w:noWrap/>
            <w:vAlign w:val="center"/>
            <w:hideMark/>
          </w:tcPr>
          <w:p w14:paraId="37FD57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5713BC4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D22244B" w14:textId="3A4A7FC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1D70FE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0B3E52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82678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2001</w:t>
            </w:r>
          </w:p>
        </w:tc>
        <w:tc>
          <w:tcPr>
            <w:tcW w:w="1597" w:type="dxa"/>
            <w:tcBorders>
              <w:top w:val="nil"/>
              <w:left w:val="single" w:sz="4" w:space="0" w:color="auto"/>
              <w:bottom w:val="nil"/>
              <w:right w:val="single" w:sz="4" w:space="0" w:color="auto"/>
            </w:tcBorders>
            <w:shd w:val="clear" w:color="auto" w:fill="auto"/>
            <w:noWrap/>
            <w:vAlign w:val="center"/>
            <w:hideMark/>
          </w:tcPr>
          <w:p w14:paraId="06F969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nil"/>
              <w:right w:val="nil"/>
            </w:tcBorders>
            <w:shd w:val="clear" w:color="auto" w:fill="auto"/>
            <w:noWrap/>
            <w:vAlign w:val="center"/>
            <w:hideMark/>
          </w:tcPr>
          <w:p w14:paraId="29495C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268</w:t>
            </w:r>
          </w:p>
        </w:tc>
        <w:tc>
          <w:tcPr>
            <w:tcW w:w="639" w:type="dxa"/>
            <w:tcBorders>
              <w:top w:val="nil"/>
              <w:left w:val="nil"/>
              <w:bottom w:val="nil"/>
              <w:right w:val="nil"/>
            </w:tcBorders>
            <w:shd w:val="clear" w:color="auto" w:fill="auto"/>
            <w:noWrap/>
            <w:vAlign w:val="center"/>
            <w:hideMark/>
          </w:tcPr>
          <w:p w14:paraId="7E72718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639" w:type="dxa"/>
            <w:tcBorders>
              <w:top w:val="nil"/>
              <w:left w:val="nil"/>
              <w:bottom w:val="nil"/>
              <w:right w:val="single" w:sz="4" w:space="0" w:color="auto"/>
            </w:tcBorders>
            <w:shd w:val="clear" w:color="auto" w:fill="auto"/>
            <w:noWrap/>
            <w:vAlign w:val="center"/>
            <w:hideMark/>
          </w:tcPr>
          <w:p w14:paraId="077A7CB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292</w:t>
            </w:r>
          </w:p>
        </w:tc>
        <w:tc>
          <w:tcPr>
            <w:tcW w:w="833" w:type="dxa"/>
            <w:tcBorders>
              <w:top w:val="nil"/>
              <w:left w:val="nil"/>
              <w:bottom w:val="nil"/>
              <w:right w:val="nil"/>
            </w:tcBorders>
            <w:shd w:val="clear" w:color="auto" w:fill="auto"/>
            <w:noWrap/>
            <w:vAlign w:val="center"/>
            <w:hideMark/>
          </w:tcPr>
          <w:p w14:paraId="010E901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883" w:type="dxa"/>
            <w:tcBorders>
              <w:top w:val="nil"/>
              <w:left w:val="single" w:sz="4" w:space="0" w:color="auto"/>
              <w:bottom w:val="nil"/>
              <w:right w:val="single" w:sz="4" w:space="0" w:color="auto"/>
            </w:tcBorders>
            <w:vAlign w:val="center"/>
          </w:tcPr>
          <w:p w14:paraId="3D90119E"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6BB34AD" w14:textId="2B2B776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6E094A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935F614"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306A21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728FE3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Den C Martin</w:t>
            </w:r>
          </w:p>
        </w:tc>
        <w:tc>
          <w:tcPr>
            <w:tcW w:w="639" w:type="dxa"/>
            <w:tcBorders>
              <w:top w:val="nil"/>
              <w:left w:val="nil"/>
              <w:bottom w:val="single" w:sz="4" w:space="0" w:color="auto"/>
              <w:right w:val="nil"/>
            </w:tcBorders>
            <w:shd w:val="clear" w:color="auto" w:fill="auto"/>
            <w:noWrap/>
            <w:vAlign w:val="center"/>
            <w:hideMark/>
          </w:tcPr>
          <w:p w14:paraId="151A6DF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270</w:t>
            </w:r>
          </w:p>
        </w:tc>
        <w:tc>
          <w:tcPr>
            <w:tcW w:w="639" w:type="dxa"/>
            <w:tcBorders>
              <w:top w:val="nil"/>
              <w:left w:val="nil"/>
              <w:bottom w:val="single" w:sz="4" w:space="0" w:color="auto"/>
              <w:right w:val="nil"/>
            </w:tcBorders>
            <w:shd w:val="clear" w:color="auto" w:fill="auto"/>
            <w:noWrap/>
            <w:vAlign w:val="center"/>
            <w:hideMark/>
          </w:tcPr>
          <w:p w14:paraId="31F9AEC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49</w:t>
            </w:r>
          </w:p>
        </w:tc>
        <w:tc>
          <w:tcPr>
            <w:tcW w:w="639" w:type="dxa"/>
            <w:tcBorders>
              <w:top w:val="nil"/>
              <w:left w:val="nil"/>
              <w:bottom w:val="single" w:sz="4" w:space="0" w:color="auto"/>
              <w:right w:val="single" w:sz="4" w:space="0" w:color="auto"/>
            </w:tcBorders>
            <w:shd w:val="clear" w:color="auto" w:fill="auto"/>
            <w:noWrap/>
            <w:vAlign w:val="center"/>
            <w:hideMark/>
          </w:tcPr>
          <w:p w14:paraId="52B26FB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833" w:type="dxa"/>
            <w:tcBorders>
              <w:top w:val="nil"/>
              <w:left w:val="nil"/>
              <w:bottom w:val="single" w:sz="4" w:space="0" w:color="auto"/>
              <w:right w:val="nil"/>
            </w:tcBorders>
            <w:shd w:val="clear" w:color="auto" w:fill="auto"/>
            <w:noWrap/>
            <w:vAlign w:val="center"/>
            <w:hideMark/>
          </w:tcPr>
          <w:p w14:paraId="2274A98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24</w:t>
            </w:r>
          </w:p>
        </w:tc>
        <w:tc>
          <w:tcPr>
            <w:tcW w:w="883" w:type="dxa"/>
            <w:tcBorders>
              <w:top w:val="nil"/>
              <w:left w:val="single" w:sz="4" w:space="0" w:color="auto"/>
              <w:bottom w:val="single" w:sz="4" w:space="0" w:color="auto"/>
              <w:right w:val="single" w:sz="4" w:space="0" w:color="auto"/>
            </w:tcBorders>
            <w:vAlign w:val="center"/>
          </w:tcPr>
          <w:p w14:paraId="445A41FB"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0979486" w14:textId="5B00AF8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single" w:sz="4" w:space="0" w:color="auto"/>
              <w:right w:val="nil"/>
            </w:tcBorders>
            <w:shd w:val="clear" w:color="auto" w:fill="auto"/>
            <w:noWrap/>
            <w:vAlign w:val="center"/>
            <w:hideMark/>
          </w:tcPr>
          <w:p w14:paraId="0229D0A5" w14:textId="2F1B9722"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69331C7"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62E103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2003</w:t>
            </w:r>
          </w:p>
        </w:tc>
        <w:tc>
          <w:tcPr>
            <w:tcW w:w="1597" w:type="dxa"/>
            <w:tcBorders>
              <w:top w:val="nil"/>
              <w:left w:val="single" w:sz="4" w:space="0" w:color="auto"/>
              <w:bottom w:val="nil"/>
              <w:right w:val="single" w:sz="4" w:space="0" w:color="auto"/>
            </w:tcBorders>
            <w:shd w:val="clear" w:color="auto" w:fill="auto"/>
            <w:noWrap/>
            <w:vAlign w:val="center"/>
            <w:hideMark/>
          </w:tcPr>
          <w:p w14:paraId="7031129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25A38B1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0E1CCA6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11</w:t>
            </w:r>
          </w:p>
        </w:tc>
        <w:tc>
          <w:tcPr>
            <w:tcW w:w="639" w:type="dxa"/>
            <w:tcBorders>
              <w:top w:val="nil"/>
              <w:left w:val="nil"/>
              <w:bottom w:val="nil"/>
              <w:right w:val="single" w:sz="4" w:space="0" w:color="auto"/>
            </w:tcBorders>
            <w:shd w:val="clear" w:color="auto" w:fill="auto"/>
            <w:noWrap/>
            <w:vAlign w:val="center"/>
            <w:hideMark/>
          </w:tcPr>
          <w:p w14:paraId="018D96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317</w:t>
            </w:r>
          </w:p>
        </w:tc>
        <w:tc>
          <w:tcPr>
            <w:tcW w:w="833" w:type="dxa"/>
            <w:tcBorders>
              <w:top w:val="nil"/>
              <w:left w:val="nil"/>
              <w:bottom w:val="nil"/>
              <w:right w:val="nil"/>
            </w:tcBorders>
            <w:shd w:val="clear" w:color="auto" w:fill="auto"/>
            <w:noWrap/>
            <w:vAlign w:val="center"/>
            <w:hideMark/>
          </w:tcPr>
          <w:p w14:paraId="2FCDD8B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w:t>
            </w:r>
          </w:p>
        </w:tc>
        <w:tc>
          <w:tcPr>
            <w:tcW w:w="883" w:type="dxa"/>
            <w:tcBorders>
              <w:top w:val="nil"/>
              <w:left w:val="single" w:sz="4" w:space="0" w:color="auto"/>
              <w:bottom w:val="nil"/>
              <w:right w:val="single" w:sz="4" w:space="0" w:color="auto"/>
            </w:tcBorders>
            <w:vAlign w:val="center"/>
          </w:tcPr>
          <w:p w14:paraId="447FAC04" w14:textId="77777777"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07005634" w14:textId="55A20AA8"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32F7C6D2"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7DF9E36"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7E98C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2004</w:t>
            </w:r>
          </w:p>
        </w:tc>
        <w:tc>
          <w:tcPr>
            <w:tcW w:w="1597" w:type="dxa"/>
            <w:tcBorders>
              <w:top w:val="nil"/>
              <w:left w:val="single" w:sz="4" w:space="0" w:color="auto"/>
              <w:bottom w:val="nil"/>
              <w:right w:val="single" w:sz="4" w:space="0" w:color="auto"/>
            </w:tcBorders>
            <w:shd w:val="clear" w:color="auto" w:fill="auto"/>
            <w:noWrap/>
            <w:vAlign w:val="center"/>
            <w:hideMark/>
          </w:tcPr>
          <w:p w14:paraId="15BD0D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0C5B55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0BCB0A6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w:t>
            </w:r>
          </w:p>
        </w:tc>
        <w:tc>
          <w:tcPr>
            <w:tcW w:w="639" w:type="dxa"/>
            <w:tcBorders>
              <w:top w:val="nil"/>
              <w:left w:val="nil"/>
              <w:bottom w:val="nil"/>
              <w:right w:val="single" w:sz="4" w:space="0" w:color="auto"/>
            </w:tcBorders>
            <w:shd w:val="clear" w:color="auto" w:fill="auto"/>
            <w:noWrap/>
            <w:vAlign w:val="center"/>
            <w:hideMark/>
          </w:tcPr>
          <w:p w14:paraId="075BAB1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833" w:type="dxa"/>
            <w:tcBorders>
              <w:top w:val="nil"/>
              <w:left w:val="nil"/>
              <w:bottom w:val="nil"/>
              <w:right w:val="nil"/>
            </w:tcBorders>
            <w:shd w:val="clear" w:color="auto" w:fill="auto"/>
            <w:noWrap/>
            <w:vAlign w:val="center"/>
            <w:hideMark/>
          </w:tcPr>
          <w:p w14:paraId="62BEC99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27</w:t>
            </w:r>
          </w:p>
        </w:tc>
        <w:tc>
          <w:tcPr>
            <w:tcW w:w="883" w:type="dxa"/>
            <w:tcBorders>
              <w:top w:val="nil"/>
              <w:left w:val="single" w:sz="4" w:space="0" w:color="auto"/>
              <w:bottom w:val="nil"/>
              <w:right w:val="single" w:sz="4" w:space="0" w:color="auto"/>
            </w:tcBorders>
            <w:vAlign w:val="center"/>
          </w:tcPr>
          <w:p w14:paraId="4EAB265F" w14:textId="7939A724"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4C47E5CB" w14:textId="70F6FF4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D476AF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3D95235"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8C549A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2005</w:t>
            </w:r>
          </w:p>
        </w:tc>
        <w:tc>
          <w:tcPr>
            <w:tcW w:w="1597" w:type="dxa"/>
            <w:tcBorders>
              <w:top w:val="nil"/>
              <w:left w:val="single" w:sz="4" w:space="0" w:color="auto"/>
              <w:bottom w:val="nil"/>
              <w:right w:val="single" w:sz="4" w:space="0" w:color="auto"/>
            </w:tcBorders>
            <w:shd w:val="clear" w:color="auto" w:fill="auto"/>
            <w:noWrap/>
            <w:vAlign w:val="center"/>
            <w:hideMark/>
          </w:tcPr>
          <w:p w14:paraId="63A80CF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1067C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283</w:t>
            </w:r>
          </w:p>
        </w:tc>
        <w:tc>
          <w:tcPr>
            <w:tcW w:w="639" w:type="dxa"/>
            <w:tcBorders>
              <w:top w:val="nil"/>
              <w:left w:val="nil"/>
              <w:bottom w:val="nil"/>
              <w:right w:val="nil"/>
            </w:tcBorders>
            <w:shd w:val="clear" w:color="auto" w:fill="auto"/>
            <w:noWrap/>
            <w:vAlign w:val="center"/>
            <w:hideMark/>
          </w:tcPr>
          <w:p w14:paraId="30F0B39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72</w:t>
            </w:r>
          </w:p>
        </w:tc>
        <w:tc>
          <w:tcPr>
            <w:tcW w:w="639" w:type="dxa"/>
            <w:tcBorders>
              <w:top w:val="nil"/>
              <w:left w:val="nil"/>
              <w:bottom w:val="nil"/>
              <w:right w:val="single" w:sz="4" w:space="0" w:color="auto"/>
            </w:tcBorders>
            <w:shd w:val="clear" w:color="auto" w:fill="auto"/>
            <w:noWrap/>
            <w:vAlign w:val="center"/>
            <w:hideMark/>
          </w:tcPr>
          <w:p w14:paraId="1D25FC5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554DC1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51</w:t>
            </w:r>
          </w:p>
        </w:tc>
        <w:tc>
          <w:tcPr>
            <w:tcW w:w="883" w:type="dxa"/>
            <w:tcBorders>
              <w:top w:val="nil"/>
              <w:left w:val="single" w:sz="4" w:space="0" w:color="auto"/>
              <w:bottom w:val="nil"/>
              <w:right w:val="single" w:sz="4" w:space="0" w:color="auto"/>
            </w:tcBorders>
            <w:vAlign w:val="center"/>
          </w:tcPr>
          <w:p w14:paraId="73451B1F" w14:textId="73114965" w:rsidR="00AA2457" w:rsidRPr="001A63C6" w:rsidRDefault="00AA2457" w:rsidP="001A63C6">
            <w:pPr>
              <w:jc w:val="center"/>
              <w:rPr>
                <w:rFonts w:ascii="Calibri" w:eastAsia="Times New Roman" w:hAnsi="Calibri" w:cs="Calibri"/>
                <w:color w:val="000000"/>
                <w:sz w:val="18"/>
                <w:szCs w:val="18"/>
                <w:lang w:eastAsia="en-CA"/>
              </w:rPr>
            </w:pPr>
          </w:p>
        </w:tc>
        <w:tc>
          <w:tcPr>
            <w:tcW w:w="1623" w:type="dxa"/>
            <w:tcBorders>
              <w:top w:val="nil"/>
              <w:left w:val="single" w:sz="4" w:space="0" w:color="auto"/>
              <w:bottom w:val="nil"/>
              <w:right w:val="single" w:sz="4" w:space="0" w:color="auto"/>
            </w:tcBorders>
            <w:shd w:val="clear" w:color="auto" w:fill="auto"/>
            <w:noWrap/>
            <w:vAlign w:val="center"/>
            <w:hideMark/>
          </w:tcPr>
          <w:p w14:paraId="23068641" w14:textId="16EBE88D"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C592B27"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4885E48E"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1333895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2006</w:t>
            </w:r>
          </w:p>
        </w:tc>
        <w:tc>
          <w:tcPr>
            <w:tcW w:w="1597" w:type="dxa"/>
            <w:tcBorders>
              <w:top w:val="nil"/>
              <w:left w:val="single" w:sz="4" w:space="0" w:color="auto"/>
              <w:bottom w:val="nil"/>
              <w:right w:val="single" w:sz="4" w:space="0" w:color="auto"/>
            </w:tcBorders>
            <w:shd w:val="clear" w:color="auto" w:fill="auto"/>
            <w:noWrap/>
            <w:vAlign w:val="center"/>
            <w:hideMark/>
          </w:tcPr>
          <w:p w14:paraId="3B283F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122063E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209</w:t>
            </w:r>
          </w:p>
        </w:tc>
        <w:tc>
          <w:tcPr>
            <w:tcW w:w="639" w:type="dxa"/>
            <w:tcBorders>
              <w:top w:val="nil"/>
              <w:left w:val="nil"/>
              <w:bottom w:val="nil"/>
              <w:right w:val="nil"/>
            </w:tcBorders>
            <w:shd w:val="clear" w:color="auto" w:fill="auto"/>
            <w:noWrap/>
            <w:vAlign w:val="center"/>
            <w:hideMark/>
          </w:tcPr>
          <w:p w14:paraId="7FA4B5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145</w:t>
            </w:r>
          </w:p>
        </w:tc>
        <w:tc>
          <w:tcPr>
            <w:tcW w:w="639" w:type="dxa"/>
            <w:tcBorders>
              <w:top w:val="nil"/>
              <w:left w:val="nil"/>
              <w:bottom w:val="nil"/>
              <w:right w:val="single" w:sz="4" w:space="0" w:color="auto"/>
            </w:tcBorders>
            <w:shd w:val="clear" w:color="auto" w:fill="auto"/>
            <w:noWrap/>
            <w:vAlign w:val="center"/>
            <w:hideMark/>
          </w:tcPr>
          <w:p w14:paraId="6CC99A5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33941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883" w:type="dxa"/>
            <w:tcBorders>
              <w:top w:val="nil"/>
              <w:left w:val="single" w:sz="4" w:space="0" w:color="auto"/>
              <w:bottom w:val="nil"/>
              <w:right w:val="single" w:sz="4" w:space="0" w:color="auto"/>
            </w:tcBorders>
            <w:vAlign w:val="center"/>
          </w:tcPr>
          <w:p w14:paraId="3A0E8CCA" w14:textId="4F6FF47F"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EC3FF29" w14:textId="3D2E736A"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020771A" w14:textId="2C7469DF"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Station redistribution</w:t>
            </w:r>
          </w:p>
        </w:tc>
      </w:tr>
      <w:tr w:rsidR="001A63C6" w:rsidRPr="009D0B22" w14:paraId="6E0DD4B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39DF9B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2007</w:t>
            </w:r>
          </w:p>
        </w:tc>
        <w:tc>
          <w:tcPr>
            <w:tcW w:w="1597" w:type="dxa"/>
            <w:tcBorders>
              <w:top w:val="nil"/>
              <w:left w:val="single" w:sz="4" w:space="0" w:color="auto"/>
              <w:bottom w:val="nil"/>
              <w:right w:val="single" w:sz="4" w:space="0" w:color="auto"/>
            </w:tcBorders>
            <w:shd w:val="clear" w:color="auto" w:fill="auto"/>
            <w:noWrap/>
            <w:vAlign w:val="center"/>
            <w:hideMark/>
          </w:tcPr>
          <w:p w14:paraId="6E8100E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660C4C3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351</w:t>
            </w:r>
          </w:p>
        </w:tc>
        <w:tc>
          <w:tcPr>
            <w:tcW w:w="639" w:type="dxa"/>
            <w:tcBorders>
              <w:top w:val="nil"/>
              <w:left w:val="nil"/>
              <w:bottom w:val="nil"/>
              <w:right w:val="nil"/>
            </w:tcBorders>
            <w:shd w:val="clear" w:color="auto" w:fill="auto"/>
            <w:noWrap/>
            <w:vAlign w:val="center"/>
            <w:hideMark/>
          </w:tcPr>
          <w:p w14:paraId="00D50A7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w:t>
            </w:r>
          </w:p>
        </w:tc>
        <w:tc>
          <w:tcPr>
            <w:tcW w:w="639" w:type="dxa"/>
            <w:tcBorders>
              <w:top w:val="nil"/>
              <w:left w:val="nil"/>
              <w:bottom w:val="nil"/>
              <w:right w:val="single" w:sz="4" w:space="0" w:color="auto"/>
            </w:tcBorders>
            <w:shd w:val="clear" w:color="auto" w:fill="auto"/>
            <w:noWrap/>
            <w:vAlign w:val="center"/>
            <w:hideMark/>
          </w:tcPr>
          <w:p w14:paraId="07FE3B7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F3BF05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254180FA" w14:textId="4BB44CDA"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9810499" w14:textId="5B3BEE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659A5DD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254B6C1"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23A58C3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2008</w:t>
            </w:r>
          </w:p>
        </w:tc>
        <w:tc>
          <w:tcPr>
            <w:tcW w:w="1597" w:type="dxa"/>
            <w:tcBorders>
              <w:top w:val="nil"/>
              <w:left w:val="single" w:sz="4" w:space="0" w:color="auto"/>
              <w:bottom w:val="nil"/>
              <w:right w:val="single" w:sz="4" w:space="0" w:color="auto"/>
            </w:tcBorders>
            <w:shd w:val="clear" w:color="auto" w:fill="auto"/>
            <w:noWrap/>
            <w:vAlign w:val="center"/>
            <w:hideMark/>
          </w:tcPr>
          <w:p w14:paraId="210165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4DA7CC6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347</w:t>
            </w:r>
          </w:p>
        </w:tc>
        <w:tc>
          <w:tcPr>
            <w:tcW w:w="639" w:type="dxa"/>
            <w:tcBorders>
              <w:top w:val="nil"/>
              <w:left w:val="nil"/>
              <w:bottom w:val="nil"/>
              <w:right w:val="nil"/>
            </w:tcBorders>
            <w:shd w:val="clear" w:color="auto" w:fill="auto"/>
            <w:noWrap/>
            <w:vAlign w:val="center"/>
            <w:hideMark/>
          </w:tcPr>
          <w:p w14:paraId="3958C09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nil"/>
              <w:right w:val="single" w:sz="4" w:space="0" w:color="auto"/>
            </w:tcBorders>
            <w:shd w:val="clear" w:color="auto" w:fill="auto"/>
            <w:noWrap/>
            <w:vAlign w:val="center"/>
            <w:hideMark/>
          </w:tcPr>
          <w:p w14:paraId="1CE042E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62739C0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0FD059DB" w14:textId="5AF8347D"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08352836" w14:textId="5CFDCDE3"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7A5462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A379AB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6F3B83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2009</w:t>
            </w:r>
          </w:p>
        </w:tc>
        <w:tc>
          <w:tcPr>
            <w:tcW w:w="1597" w:type="dxa"/>
            <w:tcBorders>
              <w:top w:val="nil"/>
              <w:left w:val="single" w:sz="4" w:space="0" w:color="auto"/>
              <w:bottom w:val="nil"/>
              <w:right w:val="single" w:sz="4" w:space="0" w:color="auto"/>
            </w:tcBorders>
            <w:shd w:val="clear" w:color="auto" w:fill="auto"/>
            <w:noWrap/>
            <w:vAlign w:val="center"/>
            <w:hideMark/>
          </w:tcPr>
          <w:p w14:paraId="5EEE24D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1081B4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5F0C58F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77BD456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355</w:t>
            </w:r>
          </w:p>
        </w:tc>
        <w:tc>
          <w:tcPr>
            <w:tcW w:w="833" w:type="dxa"/>
            <w:tcBorders>
              <w:top w:val="nil"/>
              <w:left w:val="nil"/>
              <w:bottom w:val="nil"/>
              <w:right w:val="nil"/>
            </w:tcBorders>
            <w:shd w:val="clear" w:color="auto" w:fill="auto"/>
            <w:noWrap/>
            <w:vAlign w:val="center"/>
            <w:hideMark/>
          </w:tcPr>
          <w:p w14:paraId="331C8C8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single" w:sz="4" w:space="0" w:color="auto"/>
              <w:bottom w:val="nil"/>
              <w:right w:val="single" w:sz="4" w:space="0" w:color="auto"/>
            </w:tcBorders>
            <w:vAlign w:val="center"/>
          </w:tcPr>
          <w:p w14:paraId="5F69BF66" w14:textId="2DA2FCF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69483105" w14:textId="4713D89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118D7113"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2D81B769"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237AD9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2010</w:t>
            </w:r>
          </w:p>
        </w:tc>
        <w:tc>
          <w:tcPr>
            <w:tcW w:w="1597" w:type="dxa"/>
            <w:tcBorders>
              <w:top w:val="nil"/>
              <w:left w:val="single" w:sz="4" w:space="0" w:color="auto"/>
              <w:bottom w:val="nil"/>
              <w:right w:val="single" w:sz="4" w:space="0" w:color="auto"/>
            </w:tcBorders>
            <w:shd w:val="clear" w:color="auto" w:fill="auto"/>
            <w:noWrap/>
            <w:vAlign w:val="center"/>
            <w:hideMark/>
          </w:tcPr>
          <w:p w14:paraId="6D0B091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5B67A62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639" w:type="dxa"/>
            <w:tcBorders>
              <w:top w:val="nil"/>
              <w:left w:val="nil"/>
              <w:bottom w:val="nil"/>
              <w:right w:val="nil"/>
            </w:tcBorders>
            <w:shd w:val="clear" w:color="auto" w:fill="auto"/>
            <w:noWrap/>
            <w:vAlign w:val="center"/>
            <w:hideMark/>
          </w:tcPr>
          <w:p w14:paraId="325DB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0</w:t>
            </w:r>
          </w:p>
        </w:tc>
        <w:tc>
          <w:tcPr>
            <w:tcW w:w="639" w:type="dxa"/>
            <w:tcBorders>
              <w:top w:val="nil"/>
              <w:left w:val="nil"/>
              <w:bottom w:val="nil"/>
              <w:right w:val="single" w:sz="4" w:space="0" w:color="auto"/>
            </w:tcBorders>
            <w:shd w:val="clear" w:color="auto" w:fill="auto"/>
            <w:noWrap/>
            <w:vAlign w:val="center"/>
            <w:hideMark/>
          </w:tcPr>
          <w:p w14:paraId="4F9CA3D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4747294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883" w:type="dxa"/>
            <w:tcBorders>
              <w:top w:val="nil"/>
              <w:left w:val="single" w:sz="4" w:space="0" w:color="auto"/>
              <w:bottom w:val="nil"/>
              <w:right w:val="single" w:sz="4" w:space="0" w:color="auto"/>
            </w:tcBorders>
            <w:vAlign w:val="center"/>
          </w:tcPr>
          <w:p w14:paraId="1EA891ED" w14:textId="2EA199A9"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10077A63" w14:textId="76E0870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09EEE98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1642EB5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646609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2011</w:t>
            </w:r>
          </w:p>
        </w:tc>
        <w:tc>
          <w:tcPr>
            <w:tcW w:w="1597" w:type="dxa"/>
            <w:tcBorders>
              <w:top w:val="nil"/>
              <w:left w:val="single" w:sz="4" w:space="0" w:color="auto"/>
              <w:bottom w:val="nil"/>
              <w:right w:val="single" w:sz="4" w:space="0" w:color="auto"/>
            </w:tcBorders>
            <w:shd w:val="clear" w:color="auto" w:fill="auto"/>
            <w:noWrap/>
            <w:vAlign w:val="center"/>
            <w:hideMark/>
          </w:tcPr>
          <w:p w14:paraId="3975B2E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nil"/>
              <w:right w:val="nil"/>
            </w:tcBorders>
            <w:shd w:val="clear" w:color="auto" w:fill="auto"/>
            <w:noWrap/>
            <w:vAlign w:val="center"/>
            <w:hideMark/>
          </w:tcPr>
          <w:p w14:paraId="735E165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639" w:type="dxa"/>
            <w:tcBorders>
              <w:top w:val="nil"/>
              <w:left w:val="nil"/>
              <w:bottom w:val="nil"/>
              <w:right w:val="nil"/>
            </w:tcBorders>
            <w:shd w:val="clear" w:color="auto" w:fill="auto"/>
            <w:noWrap/>
            <w:vAlign w:val="center"/>
            <w:hideMark/>
          </w:tcPr>
          <w:p w14:paraId="7B8B3B0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w:t>
            </w:r>
          </w:p>
        </w:tc>
        <w:tc>
          <w:tcPr>
            <w:tcW w:w="639" w:type="dxa"/>
            <w:tcBorders>
              <w:top w:val="nil"/>
              <w:left w:val="nil"/>
              <w:bottom w:val="nil"/>
              <w:right w:val="single" w:sz="4" w:space="0" w:color="auto"/>
            </w:tcBorders>
            <w:shd w:val="clear" w:color="auto" w:fill="auto"/>
            <w:noWrap/>
            <w:vAlign w:val="center"/>
            <w:hideMark/>
          </w:tcPr>
          <w:p w14:paraId="2764637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148CA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46</w:t>
            </w:r>
          </w:p>
        </w:tc>
        <w:tc>
          <w:tcPr>
            <w:tcW w:w="883" w:type="dxa"/>
            <w:tcBorders>
              <w:top w:val="nil"/>
              <w:left w:val="single" w:sz="4" w:space="0" w:color="auto"/>
              <w:bottom w:val="nil"/>
              <w:right w:val="single" w:sz="4" w:space="0" w:color="auto"/>
            </w:tcBorders>
            <w:vAlign w:val="center"/>
          </w:tcPr>
          <w:p w14:paraId="5A6553FC" w14:textId="4438D946" w:rsidR="00AA2457" w:rsidRPr="001A63C6" w:rsidRDefault="001A63C6"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44302</w:t>
            </w:r>
          </w:p>
        </w:tc>
        <w:tc>
          <w:tcPr>
            <w:tcW w:w="1623" w:type="dxa"/>
            <w:tcBorders>
              <w:top w:val="nil"/>
              <w:left w:val="single" w:sz="4" w:space="0" w:color="auto"/>
              <w:bottom w:val="nil"/>
              <w:right w:val="single" w:sz="4" w:space="0" w:color="auto"/>
            </w:tcBorders>
            <w:shd w:val="clear" w:color="auto" w:fill="auto"/>
            <w:noWrap/>
            <w:vAlign w:val="center"/>
            <w:hideMark/>
          </w:tcPr>
          <w:p w14:paraId="707B9422" w14:textId="43F2F31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10'x10'</w:t>
            </w:r>
          </w:p>
        </w:tc>
        <w:tc>
          <w:tcPr>
            <w:tcW w:w="2467" w:type="dxa"/>
            <w:tcBorders>
              <w:top w:val="nil"/>
              <w:left w:val="nil"/>
              <w:bottom w:val="nil"/>
              <w:right w:val="nil"/>
            </w:tcBorders>
            <w:shd w:val="clear" w:color="auto" w:fill="auto"/>
            <w:noWrap/>
            <w:vAlign w:val="center"/>
            <w:hideMark/>
          </w:tcPr>
          <w:p w14:paraId="4FEEC686"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62A1FD2"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04BD26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2012</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17D2C8A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Marco Michel</w:t>
            </w:r>
          </w:p>
        </w:tc>
        <w:tc>
          <w:tcPr>
            <w:tcW w:w="639" w:type="dxa"/>
            <w:tcBorders>
              <w:top w:val="nil"/>
              <w:left w:val="nil"/>
              <w:bottom w:val="single" w:sz="4" w:space="0" w:color="auto"/>
              <w:right w:val="nil"/>
            </w:tcBorders>
            <w:shd w:val="clear" w:color="auto" w:fill="auto"/>
            <w:noWrap/>
            <w:vAlign w:val="center"/>
            <w:hideMark/>
          </w:tcPr>
          <w:p w14:paraId="0C687A5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w:t>
            </w:r>
          </w:p>
        </w:tc>
        <w:tc>
          <w:tcPr>
            <w:tcW w:w="639" w:type="dxa"/>
            <w:tcBorders>
              <w:top w:val="nil"/>
              <w:left w:val="nil"/>
              <w:bottom w:val="single" w:sz="4" w:space="0" w:color="auto"/>
              <w:right w:val="nil"/>
            </w:tcBorders>
            <w:shd w:val="clear" w:color="auto" w:fill="auto"/>
            <w:noWrap/>
            <w:vAlign w:val="center"/>
            <w:hideMark/>
          </w:tcPr>
          <w:p w14:paraId="1F2A6D5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313</w:t>
            </w:r>
          </w:p>
        </w:tc>
        <w:tc>
          <w:tcPr>
            <w:tcW w:w="639" w:type="dxa"/>
            <w:tcBorders>
              <w:top w:val="nil"/>
              <w:left w:val="nil"/>
              <w:bottom w:val="single" w:sz="4" w:space="0" w:color="auto"/>
              <w:right w:val="single" w:sz="4" w:space="0" w:color="auto"/>
            </w:tcBorders>
            <w:shd w:val="clear" w:color="auto" w:fill="auto"/>
            <w:noWrap/>
            <w:vAlign w:val="center"/>
            <w:hideMark/>
          </w:tcPr>
          <w:p w14:paraId="39B1879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321</w:t>
            </w:r>
          </w:p>
        </w:tc>
        <w:tc>
          <w:tcPr>
            <w:tcW w:w="833" w:type="dxa"/>
            <w:tcBorders>
              <w:top w:val="nil"/>
              <w:left w:val="nil"/>
              <w:bottom w:val="single" w:sz="4" w:space="0" w:color="auto"/>
              <w:right w:val="nil"/>
            </w:tcBorders>
            <w:shd w:val="clear" w:color="auto" w:fill="auto"/>
            <w:noWrap/>
            <w:vAlign w:val="center"/>
            <w:hideMark/>
          </w:tcPr>
          <w:p w14:paraId="6AAC3FD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80</w:t>
            </w:r>
          </w:p>
        </w:tc>
        <w:tc>
          <w:tcPr>
            <w:tcW w:w="883" w:type="dxa"/>
            <w:tcBorders>
              <w:top w:val="nil"/>
              <w:left w:val="single" w:sz="4" w:space="0" w:color="auto"/>
              <w:bottom w:val="single" w:sz="4" w:space="0" w:color="auto"/>
              <w:right w:val="single" w:sz="4" w:space="0" w:color="auto"/>
            </w:tcBorders>
            <w:vAlign w:val="center"/>
          </w:tcPr>
          <w:p w14:paraId="357C51CF" w14:textId="2947D1C0"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6D190E17" w14:textId="7C53CA14"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13.1 x 13.1km</w:t>
            </w:r>
          </w:p>
        </w:tc>
        <w:tc>
          <w:tcPr>
            <w:tcW w:w="2467" w:type="dxa"/>
            <w:tcBorders>
              <w:top w:val="nil"/>
              <w:left w:val="nil"/>
              <w:bottom w:val="single" w:sz="4" w:space="0" w:color="auto"/>
              <w:right w:val="nil"/>
            </w:tcBorders>
            <w:shd w:val="clear" w:color="auto" w:fill="auto"/>
            <w:noWrap/>
            <w:vAlign w:val="center"/>
            <w:hideMark/>
          </w:tcPr>
          <w:p w14:paraId="753E6809" w14:textId="402956B5"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123D100B"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913B38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2013</w:t>
            </w:r>
          </w:p>
        </w:tc>
        <w:tc>
          <w:tcPr>
            <w:tcW w:w="1597" w:type="dxa"/>
            <w:tcBorders>
              <w:top w:val="nil"/>
              <w:left w:val="single" w:sz="4" w:space="0" w:color="auto"/>
              <w:bottom w:val="nil"/>
              <w:right w:val="single" w:sz="4" w:space="0" w:color="auto"/>
            </w:tcBorders>
            <w:shd w:val="clear" w:color="auto" w:fill="auto"/>
            <w:noWrap/>
            <w:vAlign w:val="center"/>
            <w:hideMark/>
          </w:tcPr>
          <w:p w14:paraId="13DBF03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79BD04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13</w:t>
            </w:r>
          </w:p>
        </w:tc>
        <w:tc>
          <w:tcPr>
            <w:tcW w:w="639" w:type="dxa"/>
            <w:tcBorders>
              <w:top w:val="nil"/>
              <w:left w:val="nil"/>
              <w:bottom w:val="nil"/>
              <w:right w:val="nil"/>
            </w:tcBorders>
            <w:shd w:val="clear" w:color="auto" w:fill="auto"/>
            <w:noWrap/>
            <w:vAlign w:val="center"/>
            <w:hideMark/>
          </w:tcPr>
          <w:p w14:paraId="2F91897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339</w:t>
            </w:r>
          </w:p>
        </w:tc>
        <w:tc>
          <w:tcPr>
            <w:tcW w:w="639" w:type="dxa"/>
            <w:tcBorders>
              <w:top w:val="nil"/>
              <w:left w:val="nil"/>
              <w:bottom w:val="nil"/>
              <w:right w:val="single" w:sz="4" w:space="0" w:color="auto"/>
            </w:tcBorders>
            <w:shd w:val="clear" w:color="auto" w:fill="auto"/>
            <w:noWrap/>
            <w:vAlign w:val="center"/>
            <w:hideMark/>
          </w:tcPr>
          <w:p w14:paraId="7D5335B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nil"/>
            </w:tcBorders>
            <w:shd w:val="clear" w:color="auto" w:fill="auto"/>
            <w:noWrap/>
            <w:vAlign w:val="center"/>
            <w:hideMark/>
          </w:tcPr>
          <w:p w14:paraId="7C4113C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92</w:t>
            </w:r>
          </w:p>
        </w:tc>
        <w:tc>
          <w:tcPr>
            <w:tcW w:w="883" w:type="dxa"/>
            <w:tcBorders>
              <w:top w:val="nil"/>
              <w:left w:val="single" w:sz="4" w:space="0" w:color="auto"/>
              <w:bottom w:val="nil"/>
              <w:right w:val="single" w:sz="4" w:space="0" w:color="auto"/>
            </w:tcBorders>
            <w:vAlign w:val="center"/>
          </w:tcPr>
          <w:p w14:paraId="3183F8B0" w14:textId="726F0CB8"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7A1D41F" w14:textId="7D5B457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12.6x 12.6km</w:t>
            </w:r>
          </w:p>
        </w:tc>
        <w:tc>
          <w:tcPr>
            <w:tcW w:w="2467" w:type="dxa"/>
            <w:tcBorders>
              <w:top w:val="nil"/>
              <w:left w:val="nil"/>
              <w:bottom w:val="nil"/>
              <w:right w:val="nil"/>
            </w:tcBorders>
            <w:shd w:val="clear" w:color="auto" w:fill="auto"/>
            <w:noWrap/>
            <w:vAlign w:val="center"/>
            <w:hideMark/>
          </w:tcPr>
          <w:p w14:paraId="4653A711" w14:textId="06ABBDC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Complete survey redesign</w:t>
            </w:r>
          </w:p>
        </w:tc>
      </w:tr>
      <w:tr w:rsidR="001A63C6" w:rsidRPr="009D0B22" w14:paraId="51DB23F8"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4B9D39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lastRenderedPageBreak/>
              <w:t>2014</w:t>
            </w:r>
          </w:p>
        </w:tc>
        <w:tc>
          <w:tcPr>
            <w:tcW w:w="1597" w:type="dxa"/>
            <w:tcBorders>
              <w:top w:val="nil"/>
              <w:left w:val="single" w:sz="4" w:space="0" w:color="auto"/>
              <w:bottom w:val="nil"/>
              <w:right w:val="single" w:sz="4" w:space="0" w:color="auto"/>
            </w:tcBorders>
            <w:shd w:val="clear" w:color="auto" w:fill="auto"/>
            <w:noWrap/>
            <w:vAlign w:val="center"/>
            <w:hideMark/>
          </w:tcPr>
          <w:p w14:paraId="69BF7C6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2159E0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306</w:t>
            </w:r>
          </w:p>
        </w:tc>
        <w:tc>
          <w:tcPr>
            <w:tcW w:w="639" w:type="dxa"/>
            <w:tcBorders>
              <w:top w:val="nil"/>
              <w:left w:val="nil"/>
              <w:bottom w:val="nil"/>
              <w:right w:val="nil"/>
            </w:tcBorders>
            <w:shd w:val="clear" w:color="auto" w:fill="auto"/>
            <w:noWrap/>
            <w:vAlign w:val="center"/>
            <w:hideMark/>
          </w:tcPr>
          <w:p w14:paraId="425CDF2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47</w:t>
            </w:r>
          </w:p>
        </w:tc>
        <w:tc>
          <w:tcPr>
            <w:tcW w:w="639" w:type="dxa"/>
            <w:tcBorders>
              <w:top w:val="nil"/>
              <w:left w:val="nil"/>
              <w:bottom w:val="nil"/>
              <w:right w:val="single" w:sz="4" w:space="0" w:color="auto"/>
            </w:tcBorders>
            <w:shd w:val="clear" w:color="auto" w:fill="auto"/>
            <w:noWrap/>
            <w:vAlign w:val="center"/>
            <w:hideMark/>
          </w:tcPr>
          <w:p w14:paraId="7FEA401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58A8EF5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56</w:t>
            </w:r>
          </w:p>
        </w:tc>
        <w:tc>
          <w:tcPr>
            <w:tcW w:w="883" w:type="dxa"/>
            <w:tcBorders>
              <w:top w:val="nil"/>
              <w:left w:val="single" w:sz="4" w:space="0" w:color="auto"/>
              <w:bottom w:val="nil"/>
              <w:right w:val="single" w:sz="4" w:space="0" w:color="auto"/>
            </w:tcBorders>
            <w:vAlign w:val="center"/>
          </w:tcPr>
          <w:p w14:paraId="1E65B5B2" w14:textId="2956650A"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3F3DAAA" w14:textId="2EE83C80"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1D188CB8"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EB1A303"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5EFFB29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2015</w:t>
            </w:r>
          </w:p>
        </w:tc>
        <w:tc>
          <w:tcPr>
            <w:tcW w:w="1597" w:type="dxa"/>
            <w:tcBorders>
              <w:top w:val="nil"/>
              <w:left w:val="single" w:sz="4" w:space="0" w:color="auto"/>
              <w:bottom w:val="nil"/>
              <w:right w:val="single" w:sz="4" w:space="0" w:color="auto"/>
            </w:tcBorders>
            <w:shd w:val="clear" w:color="auto" w:fill="auto"/>
            <w:noWrap/>
            <w:vAlign w:val="center"/>
            <w:hideMark/>
          </w:tcPr>
          <w:p w14:paraId="127422D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0C69DB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298</w:t>
            </w:r>
          </w:p>
        </w:tc>
        <w:tc>
          <w:tcPr>
            <w:tcW w:w="639" w:type="dxa"/>
            <w:tcBorders>
              <w:top w:val="nil"/>
              <w:left w:val="nil"/>
              <w:bottom w:val="nil"/>
              <w:right w:val="nil"/>
            </w:tcBorders>
            <w:shd w:val="clear" w:color="auto" w:fill="auto"/>
            <w:noWrap/>
            <w:vAlign w:val="center"/>
            <w:hideMark/>
          </w:tcPr>
          <w:p w14:paraId="541CD3C3"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639" w:type="dxa"/>
            <w:tcBorders>
              <w:top w:val="nil"/>
              <w:left w:val="nil"/>
              <w:bottom w:val="nil"/>
              <w:right w:val="single" w:sz="4" w:space="0" w:color="auto"/>
            </w:tcBorders>
            <w:shd w:val="clear" w:color="auto" w:fill="auto"/>
            <w:noWrap/>
            <w:vAlign w:val="center"/>
            <w:hideMark/>
          </w:tcPr>
          <w:p w14:paraId="70F4B2D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67E85A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71</w:t>
            </w:r>
          </w:p>
        </w:tc>
        <w:tc>
          <w:tcPr>
            <w:tcW w:w="883" w:type="dxa"/>
            <w:tcBorders>
              <w:top w:val="nil"/>
              <w:left w:val="single" w:sz="4" w:space="0" w:color="auto"/>
              <w:bottom w:val="nil"/>
              <w:right w:val="single" w:sz="4" w:space="0" w:color="auto"/>
            </w:tcBorders>
            <w:vAlign w:val="center"/>
          </w:tcPr>
          <w:p w14:paraId="52F652E6" w14:textId="7EFC1FA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6EDA2883" w14:textId="3EF8342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4251297E"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25D33B2"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3FC7749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2016</w:t>
            </w:r>
          </w:p>
        </w:tc>
        <w:tc>
          <w:tcPr>
            <w:tcW w:w="1597" w:type="dxa"/>
            <w:tcBorders>
              <w:top w:val="nil"/>
              <w:left w:val="single" w:sz="4" w:space="0" w:color="auto"/>
              <w:bottom w:val="nil"/>
              <w:right w:val="single" w:sz="4" w:space="0" w:color="auto"/>
            </w:tcBorders>
            <w:shd w:val="clear" w:color="auto" w:fill="auto"/>
            <w:noWrap/>
            <w:vAlign w:val="center"/>
            <w:hideMark/>
          </w:tcPr>
          <w:p w14:paraId="61CFCDA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7C110D2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314</w:t>
            </w:r>
          </w:p>
        </w:tc>
        <w:tc>
          <w:tcPr>
            <w:tcW w:w="639" w:type="dxa"/>
            <w:tcBorders>
              <w:top w:val="nil"/>
              <w:left w:val="nil"/>
              <w:bottom w:val="nil"/>
              <w:right w:val="nil"/>
            </w:tcBorders>
            <w:shd w:val="clear" w:color="auto" w:fill="auto"/>
            <w:noWrap/>
            <w:vAlign w:val="center"/>
            <w:hideMark/>
          </w:tcPr>
          <w:p w14:paraId="353285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40</w:t>
            </w:r>
          </w:p>
        </w:tc>
        <w:tc>
          <w:tcPr>
            <w:tcW w:w="639" w:type="dxa"/>
            <w:tcBorders>
              <w:top w:val="nil"/>
              <w:left w:val="nil"/>
              <w:bottom w:val="nil"/>
              <w:right w:val="single" w:sz="4" w:space="0" w:color="auto"/>
            </w:tcBorders>
            <w:shd w:val="clear" w:color="auto" w:fill="auto"/>
            <w:noWrap/>
            <w:vAlign w:val="center"/>
            <w:hideMark/>
          </w:tcPr>
          <w:p w14:paraId="6E3F4F6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nil"/>
              <w:right w:val="nil"/>
            </w:tcBorders>
            <w:shd w:val="clear" w:color="auto" w:fill="auto"/>
            <w:noWrap/>
            <w:vAlign w:val="center"/>
            <w:hideMark/>
          </w:tcPr>
          <w:p w14:paraId="0DD72C65"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55</w:t>
            </w:r>
          </w:p>
        </w:tc>
        <w:tc>
          <w:tcPr>
            <w:tcW w:w="883" w:type="dxa"/>
            <w:tcBorders>
              <w:top w:val="nil"/>
              <w:left w:val="single" w:sz="4" w:space="0" w:color="auto"/>
              <w:bottom w:val="nil"/>
              <w:right w:val="single" w:sz="4" w:space="0" w:color="auto"/>
            </w:tcBorders>
            <w:vAlign w:val="center"/>
          </w:tcPr>
          <w:p w14:paraId="314D94CF" w14:textId="4D7790D5"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12CED4DE" w14:textId="4ED7365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3C908A4"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64E0EA2A"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C9535B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2017</w:t>
            </w:r>
          </w:p>
        </w:tc>
        <w:tc>
          <w:tcPr>
            <w:tcW w:w="1597" w:type="dxa"/>
            <w:tcBorders>
              <w:top w:val="nil"/>
              <w:left w:val="single" w:sz="4" w:space="0" w:color="auto"/>
              <w:bottom w:val="nil"/>
              <w:right w:val="single" w:sz="4" w:space="0" w:color="auto"/>
            </w:tcBorders>
            <w:shd w:val="clear" w:color="auto" w:fill="auto"/>
            <w:noWrap/>
            <w:vAlign w:val="center"/>
            <w:hideMark/>
          </w:tcPr>
          <w:p w14:paraId="033B7A17"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nil"/>
              <w:right w:val="nil"/>
            </w:tcBorders>
            <w:shd w:val="clear" w:color="auto" w:fill="auto"/>
            <w:noWrap/>
            <w:vAlign w:val="center"/>
            <w:hideMark/>
          </w:tcPr>
          <w:p w14:paraId="1BC7838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319</w:t>
            </w:r>
          </w:p>
        </w:tc>
        <w:tc>
          <w:tcPr>
            <w:tcW w:w="639" w:type="dxa"/>
            <w:tcBorders>
              <w:top w:val="nil"/>
              <w:left w:val="nil"/>
              <w:bottom w:val="nil"/>
              <w:right w:val="nil"/>
            </w:tcBorders>
            <w:shd w:val="clear" w:color="auto" w:fill="auto"/>
            <w:noWrap/>
            <w:vAlign w:val="center"/>
            <w:hideMark/>
          </w:tcPr>
          <w:p w14:paraId="500D63E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34</w:t>
            </w:r>
          </w:p>
        </w:tc>
        <w:tc>
          <w:tcPr>
            <w:tcW w:w="639" w:type="dxa"/>
            <w:tcBorders>
              <w:top w:val="nil"/>
              <w:left w:val="nil"/>
              <w:bottom w:val="nil"/>
              <w:right w:val="single" w:sz="4" w:space="0" w:color="auto"/>
            </w:tcBorders>
            <w:shd w:val="clear" w:color="auto" w:fill="auto"/>
            <w:noWrap/>
            <w:vAlign w:val="center"/>
            <w:hideMark/>
          </w:tcPr>
          <w:p w14:paraId="2CBD820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353</w:t>
            </w:r>
          </w:p>
        </w:tc>
        <w:tc>
          <w:tcPr>
            <w:tcW w:w="833" w:type="dxa"/>
            <w:tcBorders>
              <w:top w:val="nil"/>
              <w:left w:val="nil"/>
              <w:bottom w:val="nil"/>
              <w:right w:val="nil"/>
            </w:tcBorders>
            <w:shd w:val="clear" w:color="auto" w:fill="auto"/>
            <w:noWrap/>
            <w:vAlign w:val="center"/>
            <w:hideMark/>
          </w:tcPr>
          <w:p w14:paraId="7D3352AF"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50</w:t>
            </w:r>
          </w:p>
        </w:tc>
        <w:tc>
          <w:tcPr>
            <w:tcW w:w="883" w:type="dxa"/>
            <w:tcBorders>
              <w:top w:val="nil"/>
              <w:left w:val="single" w:sz="4" w:space="0" w:color="auto"/>
              <w:bottom w:val="nil"/>
              <w:right w:val="single" w:sz="4" w:space="0" w:color="auto"/>
            </w:tcBorders>
            <w:vAlign w:val="center"/>
          </w:tcPr>
          <w:p w14:paraId="61577591" w14:textId="1FF9CE99"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nil"/>
              <w:right w:val="single" w:sz="4" w:space="0" w:color="auto"/>
            </w:tcBorders>
            <w:shd w:val="clear" w:color="auto" w:fill="auto"/>
            <w:noWrap/>
            <w:vAlign w:val="center"/>
            <w:hideMark/>
          </w:tcPr>
          <w:p w14:paraId="34F81097" w14:textId="085288D1"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2BA14500"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50237760" w14:textId="77777777" w:rsidTr="001A63C6">
        <w:trPr>
          <w:trHeight w:val="270"/>
          <w:jc w:val="center"/>
        </w:trPr>
        <w:tc>
          <w:tcPr>
            <w:tcW w:w="710" w:type="dxa"/>
            <w:tcBorders>
              <w:top w:val="nil"/>
              <w:left w:val="nil"/>
              <w:bottom w:val="single" w:sz="4" w:space="0" w:color="auto"/>
              <w:right w:val="nil"/>
            </w:tcBorders>
            <w:shd w:val="clear" w:color="auto" w:fill="auto"/>
            <w:noWrap/>
            <w:vAlign w:val="center"/>
            <w:hideMark/>
          </w:tcPr>
          <w:p w14:paraId="23842CF1"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2018</w:t>
            </w:r>
          </w:p>
        </w:tc>
        <w:tc>
          <w:tcPr>
            <w:tcW w:w="1597" w:type="dxa"/>
            <w:tcBorders>
              <w:top w:val="nil"/>
              <w:left w:val="single" w:sz="4" w:space="0" w:color="auto"/>
              <w:bottom w:val="single" w:sz="4" w:space="0" w:color="auto"/>
              <w:right w:val="single" w:sz="4" w:space="0" w:color="auto"/>
            </w:tcBorders>
            <w:shd w:val="clear" w:color="auto" w:fill="auto"/>
            <w:noWrap/>
            <w:vAlign w:val="center"/>
            <w:hideMark/>
          </w:tcPr>
          <w:p w14:paraId="20BCF1A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Jean Mathieu</w:t>
            </w:r>
          </w:p>
        </w:tc>
        <w:tc>
          <w:tcPr>
            <w:tcW w:w="639" w:type="dxa"/>
            <w:tcBorders>
              <w:top w:val="nil"/>
              <w:left w:val="nil"/>
              <w:bottom w:val="single" w:sz="4" w:space="0" w:color="auto"/>
              <w:right w:val="nil"/>
            </w:tcBorders>
            <w:shd w:val="clear" w:color="auto" w:fill="auto"/>
            <w:noWrap/>
            <w:vAlign w:val="center"/>
            <w:hideMark/>
          </w:tcPr>
          <w:p w14:paraId="0B8FF7F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single" w:sz="4" w:space="0" w:color="auto"/>
              <w:right w:val="nil"/>
            </w:tcBorders>
            <w:shd w:val="clear" w:color="auto" w:fill="auto"/>
            <w:noWrap/>
            <w:vAlign w:val="center"/>
            <w:hideMark/>
          </w:tcPr>
          <w:p w14:paraId="2D28F6E8"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39</w:t>
            </w:r>
          </w:p>
        </w:tc>
        <w:tc>
          <w:tcPr>
            <w:tcW w:w="639" w:type="dxa"/>
            <w:tcBorders>
              <w:top w:val="nil"/>
              <w:left w:val="nil"/>
              <w:bottom w:val="single" w:sz="4" w:space="0" w:color="auto"/>
              <w:right w:val="single" w:sz="4" w:space="0" w:color="auto"/>
            </w:tcBorders>
            <w:shd w:val="clear" w:color="auto" w:fill="auto"/>
            <w:noWrap/>
            <w:vAlign w:val="center"/>
            <w:hideMark/>
          </w:tcPr>
          <w:p w14:paraId="1794E7E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354</w:t>
            </w:r>
          </w:p>
        </w:tc>
        <w:tc>
          <w:tcPr>
            <w:tcW w:w="833" w:type="dxa"/>
            <w:tcBorders>
              <w:top w:val="nil"/>
              <w:left w:val="nil"/>
              <w:bottom w:val="single" w:sz="4" w:space="0" w:color="auto"/>
              <w:right w:val="nil"/>
            </w:tcBorders>
            <w:shd w:val="clear" w:color="auto" w:fill="auto"/>
            <w:noWrap/>
            <w:vAlign w:val="center"/>
            <w:hideMark/>
          </w:tcPr>
          <w:p w14:paraId="4690E5DA"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41</w:t>
            </w:r>
          </w:p>
        </w:tc>
        <w:tc>
          <w:tcPr>
            <w:tcW w:w="883" w:type="dxa"/>
            <w:tcBorders>
              <w:top w:val="nil"/>
              <w:left w:val="single" w:sz="4" w:space="0" w:color="auto"/>
              <w:bottom w:val="single" w:sz="4" w:space="0" w:color="auto"/>
              <w:right w:val="single" w:sz="4" w:space="0" w:color="auto"/>
            </w:tcBorders>
            <w:vAlign w:val="center"/>
          </w:tcPr>
          <w:p w14:paraId="661293D3" w14:textId="06B683E4"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57840</w:t>
            </w:r>
          </w:p>
        </w:tc>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3FCEB5BC" w14:textId="73462BFE"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single" w:sz="4" w:space="0" w:color="auto"/>
              <w:right w:val="nil"/>
            </w:tcBorders>
            <w:shd w:val="clear" w:color="auto" w:fill="auto"/>
            <w:noWrap/>
            <w:vAlign w:val="center"/>
            <w:hideMark/>
          </w:tcPr>
          <w:p w14:paraId="781EC975" w14:textId="5081B570"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71A5DE2D" w14:textId="77777777" w:rsidTr="001A63C6">
        <w:trPr>
          <w:trHeight w:val="270"/>
          <w:jc w:val="center"/>
        </w:trPr>
        <w:tc>
          <w:tcPr>
            <w:tcW w:w="710" w:type="dxa"/>
            <w:tcBorders>
              <w:top w:val="nil"/>
              <w:left w:val="nil"/>
              <w:bottom w:val="nil"/>
              <w:right w:val="nil"/>
            </w:tcBorders>
            <w:shd w:val="clear" w:color="auto" w:fill="auto"/>
            <w:noWrap/>
            <w:vAlign w:val="center"/>
            <w:hideMark/>
          </w:tcPr>
          <w:p w14:paraId="7BA79109"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2019</w:t>
            </w:r>
          </w:p>
        </w:tc>
        <w:tc>
          <w:tcPr>
            <w:tcW w:w="1597" w:type="dxa"/>
            <w:tcBorders>
              <w:top w:val="nil"/>
              <w:left w:val="single" w:sz="4" w:space="0" w:color="auto"/>
              <w:bottom w:val="nil"/>
              <w:right w:val="single" w:sz="4" w:space="0" w:color="auto"/>
            </w:tcBorders>
            <w:shd w:val="clear" w:color="auto" w:fill="auto"/>
            <w:noWrap/>
            <w:vAlign w:val="center"/>
            <w:hideMark/>
          </w:tcPr>
          <w:p w14:paraId="66740D70"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hideMark/>
          </w:tcPr>
          <w:p w14:paraId="0D34759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315</w:t>
            </w:r>
          </w:p>
        </w:tc>
        <w:tc>
          <w:tcPr>
            <w:tcW w:w="639" w:type="dxa"/>
            <w:tcBorders>
              <w:top w:val="nil"/>
              <w:left w:val="nil"/>
              <w:bottom w:val="nil"/>
              <w:right w:val="nil"/>
            </w:tcBorders>
            <w:shd w:val="clear" w:color="auto" w:fill="auto"/>
            <w:noWrap/>
            <w:vAlign w:val="center"/>
            <w:hideMark/>
          </w:tcPr>
          <w:p w14:paraId="30906EB6"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37</w:t>
            </w:r>
          </w:p>
        </w:tc>
        <w:tc>
          <w:tcPr>
            <w:tcW w:w="639" w:type="dxa"/>
            <w:tcBorders>
              <w:top w:val="nil"/>
              <w:left w:val="nil"/>
              <w:bottom w:val="nil"/>
              <w:right w:val="single" w:sz="4" w:space="0" w:color="auto"/>
            </w:tcBorders>
            <w:shd w:val="clear" w:color="auto" w:fill="auto"/>
            <w:noWrap/>
            <w:vAlign w:val="center"/>
            <w:hideMark/>
          </w:tcPr>
          <w:p w14:paraId="2FF406D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hideMark/>
          </w:tcPr>
          <w:p w14:paraId="3FB683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67</w:t>
            </w:r>
          </w:p>
        </w:tc>
        <w:tc>
          <w:tcPr>
            <w:tcW w:w="883" w:type="dxa"/>
            <w:tcBorders>
              <w:top w:val="nil"/>
              <w:left w:val="nil"/>
              <w:bottom w:val="nil"/>
              <w:right w:val="single" w:sz="4" w:space="0" w:color="auto"/>
            </w:tcBorders>
            <w:vAlign w:val="center"/>
          </w:tcPr>
          <w:p w14:paraId="209A83C0" w14:textId="14BDD901"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single" w:sz="4" w:space="0" w:color="auto"/>
              <w:left w:val="single" w:sz="4" w:space="0" w:color="auto"/>
              <w:bottom w:val="nil"/>
              <w:right w:val="single" w:sz="4" w:space="0" w:color="auto"/>
            </w:tcBorders>
            <w:shd w:val="clear" w:color="auto" w:fill="auto"/>
            <w:noWrap/>
            <w:vAlign w:val="center"/>
            <w:hideMark/>
          </w:tcPr>
          <w:p w14:paraId="57EB1D52" w14:textId="71BDFCDC"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hideMark/>
          </w:tcPr>
          <w:p w14:paraId="71D0C86C" w14:textId="77777777" w:rsidR="00AA2457" w:rsidRPr="001A63C6" w:rsidRDefault="00AA2457" w:rsidP="001A63C6">
            <w:pPr>
              <w:jc w:val="center"/>
              <w:rPr>
                <w:rFonts w:ascii="Calibri" w:eastAsia="Times New Roman" w:hAnsi="Calibri" w:cs="Calibri"/>
                <w:color w:val="000000"/>
                <w:sz w:val="18"/>
                <w:szCs w:val="18"/>
                <w:lang w:eastAsia="en-CA"/>
              </w:rPr>
            </w:pPr>
          </w:p>
        </w:tc>
      </w:tr>
      <w:tr w:rsidR="001A63C6" w:rsidRPr="009D0B22" w14:paraId="3B27B826" w14:textId="77777777" w:rsidTr="001A63C6">
        <w:trPr>
          <w:trHeight w:val="270"/>
          <w:jc w:val="center"/>
        </w:trPr>
        <w:tc>
          <w:tcPr>
            <w:tcW w:w="710" w:type="dxa"/>
            <w:tcBorders>
              <w:top w:val="nil"/>
              <w:left w:val="nil"/>
              <w:bottom w:val="nil"/>
              <w:right w:val="nil"/>
            </w:tcBorders>
            <w:shd w:val="clear" w:color="auto" w:fill="auto"/>
            <w:noWrap/>
            <w:vAlign w:val="center"/>
          </w:tcPr>
          <w:p w14:paraId="034969CD"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2020</w:t>
            </w:r>
          </w:p>
        </w:tc>
        <w:tc>
          <w:tcPr>
            <w:tcW w:w="1597" w:type="dxa"/>
            <w:tcBorders>
              <w:top w:val="nil"/>
              <w:left w:val="single" w:sz="4" w:space="0" w:color="auto"/>
              <w:bottom w:val="nil"/>
              <w:right w:val="single" w:sz="4" w:space="0" w:color="auto"/>
            </w:tcBorders>
            <w:shd w:val="clear" w:color="auto" w:fill="auto"/>
            <w:noWrap/>
            <w:vAlign w:val="center"/>
          </w:tcPr>
          <w:p w14:paraId="326C7DEB"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Avalon Voyager II</w:t>
            </w:r>
          </w:p>
        </w:tc>
        <w:tc>
          <w:tcPr>
            <w:tcW w:w="639" w:type="dxa"/>
            <w:tcBorders>
              <w:top w:val="nil"/>
              <w:left w:val="nil"/>
              <w:bottom w:val="nil"/>
              <w:right w:val="nil"/>
            </w:tcBorders>
            <w:shd w:val="clear" w:color="auto" w:fill="auto"/>
            <w:noWrap/>
            <w:vAlign w:val="center"/>
          </w:tcPr>
          <w:p w14:paraId="07276CCE"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327</w:t>
            </w:r>
          </w:p>
        </w:tc>
        <w:tc>
          <w:tcPr>
            <w:tcW w:w="639" w:type="dxa"/>
            <w:tcBorders>
              <w:top w:val="nil"/>
              <w:left w:val="nil"/>
              <w:bottom w:val="nil"/>
              <w:right w:val="nil"/>
            </w:tcBorders>
            <w:shd w:val="clear" w:color="auto" w:fill="auto"/>
            <w:noWrap/>
            <w:vAlign w:val="center"/>
          </w:tcPr>
          <w:p w14:paraId="0E85C972"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26</w:t>
            </w:r>
          </w:p>
        </w:tc>
        <w:tc>
          <w:tcPr>
            <w:tcW w:w="639" w:type="dxa"/>
            <w:tcBorders>
              <w:top w:val="nil"/>
              <w:left w:val="nil"/>
              <w:bottom w:val="nil"/>
              <w:right w:val="single" w:sz="4" w:space="0" w:color="auto"/>
            </w:tcBorders>
            <w:shd w:val="clear" w:color="auto" w:fill="auto"/>
            <w:noWrap/>
            <w:vAlign w:val="center"/>
          </w:tcPr>
          <w:p w14:paraId="3D8DCD24"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352</w:t>
            </w:r>
          </w:p>
        </w:tc>
        <w:tc>
          <w:tcPr>
            <w:tcW w:w="833" w:type="dxa"/>
            <w:tcBorders>
              <w:top w:val="nil"/>
              <w:left w:val="nil"/>
              <w:bottom w:val="nil"/>
              <w:right w:val="single" w:sz="4" w:space="0" w:color="auto"/>
            </w:tcBorders>
            <w:shd w:val="clear" w:color="auto" w:fill="auto"/>
            <w:noWrap/>
            <w:vAlign w:val="center"/>
          </w:tcPr>
          <w:p w14:paraId="0403B6CC" w14:textId="7777777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38</w:t>
            </w:r>
          </w:p>
        </w:tc>
        <w:tc>
          <w:tcPr>
            <w:tcW w:w="883" w:type="dxa"/>
            <w:tcBorders>
              <w:top w:val="nil"/>
              <w:left w:val="nil"/>
              <w:bottom w:val="nil"/>
              <w:right w:val="single" w:sz="4" w:space="0" w:color="auto"/>
            </w:tcBorders>
            <w:vAlign w:val="center"/>
          </w:tcPr>
          <w:p w14:paraId="0F37984A" w14:textId="75F2EE16" w:rsidR="00AA2457" w:rsidRPr="001A63C6" w:rsidRDefault="0048643D"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57842.8</w:t>
            </w:r>
          </w:p>
        </w:tc>
        <w:tc>
          <w:tcPr>
            <w:tcW w:w="1623" w:type="dxa"/>
            <w:tcBorders>
              <w:top w:val="nil"/>
              <w:left w:val="single" w:sz="4" w:space="0" w:color="auto"/>
              <w:bottom w:val="nil"/>
              <w:right w:val="single" w:sz="4" w:space="0" w:color="auto"/>
            </w:tcBorders>
            <w:shd w:val="clear" w:color="auto" w:fill="auto"/>
            <w:noWrap/>
            <w:vAlign w:val="center"/>
          </w:tcPr>
          <w:p w14:paraId="1D8865FC" w14:textId="62BD3217" w:rsidR="00AA2457" w:rsidRPr="001A63C6" w:rsidRDefault="00AA2457" w:rsidP="001A63C6">
            <w:pPr>
              <w:jc w:val="center"/>
              <w:rPr>
                <w:rFonts w:ascii="Calibri" w:eastAsia="Times New Roman" w:hAnsi="Calibri" w:cs="Calibri"/>
                <w:color w:val="000000"/>
                <w:sz w:val="18"/>
                <w:szCs w:val="18"/>
                <w:lang w:eastAsia="en-CA"/>
              </w:rPr>
            </w:pPr>
            <w:r w:rsidRPr="001A63C6">
              <w:rPr>
                <w:rFonts w:ascii="Calibri" w:eastAsia="Times New Roman" w:hAnsi="Calibri" w:cs="Calibri"/>
                <w:color w:val="000000"/>
                <w:sz w:val="18"/>
                <w:szCs w:val="18"/>
                <w:lang w:eastAsia="en-CA"/>
              </w:rPr>
              <w:t>12.6 x 12.6km</w:t>
            </w:r>
          </w:p>
        </w:tc>
        <w:tc>
          <w:tcPr>
            <w:tcW w:w="2467" w:type="dxa"/>
            <w:tcBorders>
              <w:top w:val="nil"/>
              <w:left w:val="nil"/>
              <w:bottom w:val="nil"/>
              <w:right w:val="nil"/>
            </w:tcBorders>
            <w:shd w:val="clear" w:color="auto" w:fill="auto"/>
            <w:noWrap/>
            <w:vAlign w:val="center"/>
          </w:tcPr>
          <w:p w14:paraId="14BD3F07" w14:textId="77777777" w:rsidR="00AA2457" w:rsidRPr="001A63C6" w:rsidRDefault="00AA2457" w:rsidP="001A63C6">
            <w:pPr>
              <w:jc w:val="center"/>
              <w:rPr>
                <w:rFonts w:ascii="Calibri" w:eastAsia="Times New Roman" w:hAnsi="Calibri" w:cs="Calibri"/>
                <w:color w:val="000000"/>
                <w:sz w:val="18"/>
                <w:szCs w:val="18"/>
                <w:lang w:eastAsia="en-CA"/>
              </w:rPr>
            </w:pPr>
          </w:p>
        </w:tc>
      </w:tr>
    </w:tbl>
    <w:p w14:paraId="45520CBB" w14:textId="7DD06404" w:rsidR="0063493F" w:rsidRDefault="0063493F" w:rsidP="00B355F7"/>
    <w:p w14:paraId="3E99E1F8" w14:textId="77777777" w:rsidR="003A1882" w:rsidRDefault="003A1882" w:rsidP="00B355F7"/>
    <w:p w14:paraId="6CE6FF7E" w14:textId="77777777" w:rsidR="003A1882" w:rsidRDefault="003A1882">
      <w:pPr>
        <w:rPr>
          <w:rFonts w:ascii="Helvetica" w:eastAsia="Times New Roman" w:hAnsi="Helvetica" w:cs="Times New Roman"/>
          <w:b/>
          <w:sz w:val="21"/>
          <w:szCs w:val="21"/>
          <w:lang w:val="en-CA"/>
        </w:rPr>
      </w:pPr>
      <w:r>
        <w:rPr>
          <w:rFonts w:ascii="Helvetica" w:eastAsia="Times New Roman" w:hAnsi="Helvetica" w:cs="Times New Roman"/>
          <w:b/>
          <w:sz w:val="21"/>
          <w:szCs w:val="21"/>
          <w:lang w:val="en-CA"/>
        </w:rPr>
        <w:br w:type="page"/>
      </w:r>
    </w:p>
    <w:p w14:paraId="7DD55809" w14:textId="7E17AA23" w:rsidR="00654506" w:rsidRPr="001608BB" w:rsidRDefault="00654506" w:rsidP="00654506">
      <w:pPr>
        <w:rPr>
          <w:rFonts w:ascii="Helvetica" w:eastAsia="Times New Roman" w:hAnsi="Helvetica" w:cs="Times New Roman"/>
          <w:b/>
          <w:sz w:val="21"/>
          <w:szCs w:val="21"/>
          <w:lang w:val="en-CA"/>
        </w:rPr>
      </w:pPr>
      <w:r w:rsidRPr="001608BB">
        <w:rPr>
          <w:rFonts w:ascii="Helvetica" w:eastAsia="Times New Roman" w:hAnsi="Helvetica" w:cs="Times New Roman"/>
          <w:b/>
          <w:sz w:val="21"/>
          <w:szCs w:val="21"/>
          <w:lang w:val="en-CA"/>
        </w:rPr>
        <w:lastRenderedPageBreak/>
        <w:t>Bibliography:</w:t>
      </w:r>
    </w:p>
    <w:p w14:paraId="7C9F487A" w14:textId="77777777" w:rsidR="00654506" w:rsidRDefault="00654506" w:rsidP="00654506">
      <w:pPr>
        <w:rPr>
          <w:rFonts w:ascii="Helvetica" w:eastAsia="Times New Roman" w:hAnsi="Helvetica" w:cs="Times New Roman"/>
          <w:sz w:val="21"/>
          <w:szCs w:val="21"/>
          <w:lang w:val="en-CA"/>
        </w:rPr>
      </w:pPr>
    </w:p>
    <w:p w14:paraId="05AC703A" w14:textId="77777777" w:rsidR="00654506" w:rsidRDefault="00654506" w:rsidP="00654506">
      <w:pPr>
        <w:rPr>
          <w:rFonts w:ascii="Helvetica" w:eastAsia="Times New Roman" w:hAnsi="Helvetica" w:cs="Times New Roman"/>
          <w:sz w:val="21"/>
          <w:szCs w:val="21"/>
          <w:lang w:val="en-CA"/>
        </w:rPr>
      </w:pPr>
      <w:r w:rsidRPr="00773647">
        <w:rPr>
          <w:rFonts w:ascii="Helvetica" w:eastAsia="Times New Roman" w:hAnsi="Helvetica" w:cs="Times New Roman"/>
          <w:sz w:val="21"/>
          <w:szCs w:val="21"/>
          <w:lang w:val="en-CA"/>
        </w:rPr>
        <w:t xml:space="preserve">Moriyasu, M., Wade, E., Hébert, M. and Biron, M. 2008. Review of the survey and analytical protocols used for estimating abundance indices of southern Gulf of St. Lawrence snow crab from 1988 to 2006. DFO Can. Sci. </w:t>
      </w:r>
      <w:proofErr w:type="spellStart"/>
      <w:r w:rsidRPr="00773647">
        <w:rPr>
          <w:rFonts w:ascii="Helvetica" w:eastAsia="Times New Roman" w:hAnsi="Helvetica" w:cs="Times New Roman"/>
          <w:sz w:val="21"/>
          <w:szCs w:val="21"/>
          <w:lang w:val="en-CA"/>
        </w:rPr>
        <w:t>Advis</w:t>
      </w:r>
      <w:proofErr w:type="spellEnd"/>
      <w:r w:rsidRPr="00773647">
        <w:rPr>
          <w:rFonts w:ascii="Helvetica" w:eastAsia="Times New Roman" w:hAnsi="Helvetica" w:cs="Times New Roman"/>
          <w:sz w:val="21"/>
          <w:szCs w:val="21"/>
          <w:lang w:val="en-CA"/>
        </w:rPr>
        <w:t>. Sec. Res. Doc. 2008/069.</w:t>
      </w:r>
    </w:p>
    <w:p w14:paraId="0FD8738B" w14:textId="77777777" w:rsidR="00654506" w:rsidRDefault="00654506" w:rsidP="00B355F7"/>
    <w:p w14:paraId="435A16F2" w14:textId="77777777" w:rsidR="00654506" w:rsidRDefault="00654506" w:rsidP="00B355F7"/>
    <w:sectPr w:rsidR="00654506" w:rsidSect="00434B4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4E"/>
    <w:family w:val="auto"/>
    <w:pitch w:val="variable"/>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757DC"/>
    <w:multiLevelType w:val="hybridMultilevel"/>
    <w:tmpl w:val="C8C4A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9AB2594"/>
    <w:multiLevelType w:val="hybridMultilevel"/>
    <w:tmpl w:val="0E1CAFBE"/>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5D77702A"/>
    <w:multiLevelType w:val="hybridMultilevel"/>
    <w:tmpl w:val="B2F05292"/>
    <w:lvl w:ilvl="0" w:tplc="9E940428">
      <w:numFmt w:val="bullet"/>
      <w:lvlText w:val="-"/>
      <w:lvlJc w:val="left"/>
      <w:pPr>
        <w:ind w:left="36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663964F1"/>
    <w:multiLevelType w:val="hybridMultilevel"/>
    <w:tmpl w:val="860A9FC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4623"/>
    <w:rsid w:val="00033CC3"/>
    <w:rsid w:val="00050E97"/>
    <w:rsid w:val="000E75AB"/>
    <w:rsid w:val="001608BB"/>
    <w:rsid w:val="00196F69"/>
    <w:rsid w:val="001A63C6"/>
    <w:rsid w:val="001C592D"/>
    <w:rsid w:val="002073DA"/>
    <w:rsid w:val="00223738"/>
    <w:rsid w:val="00233032"/>
    <w:rsid w:val="0033025C"/>
    <w:rsid w:val="00383460"/>
    <w:rsid w:val="003A1882"/>
    <w:rsid w:val="003E238D"/>
    <w:rsid w:val="00434B47"/>
    <w:rsid w:val="0043701B"/>
    <w:rsid w:val="004522C6"/>
    <w:rsid w:val="0048643D"/>
    <w:rsid w:val="00493CDC"/>
    <w:rsid w:val="005E1F83"/>
    <w:rsid w:val="0062352A"/>
    <w:rsid w:val="0063493F"/>
    <w:rsid w:val="00636920"/>
    <w:rsid w:val="00654506"/>
    <w:rsid w:val="0069331C"/>
    <w:rsid w:val="006C34EC"/>
    <w:rsid w:val="00773647"/>
    <w:rsid w:val="00784618"/>
    <w:rsid w:val="008146E3"/>
    <w:rsid w:val="0094157F"/>
    <w:rsid w:val="00980C5F"/>
    <w:rsid w:val="009C1481"/>
    <w:rsid w:val="009E7370"/>
    <w:rsid w:val="009F1800"/>
    <w:rsid w:val="00A06E19"/>
    <w:rsid w:val="00A46BB4"/>
    <w:rsid w:val="00AA2457"/>
    <w:rsid w:val="00AA2D13"/>
    <w:rsid w:val="00B355F7"/>
    <w:rsid w:val="00B401BC"/>
    <w:rsid w:val="00B97672"/>
    <w:rsid w:val="00C77FCC"/>
    <w:rsid w:val="00C87382"/>
    <w:rsid w:val="00CD032B"/>
    <w:rsid w:val="00E46862"/>
    <w:rsid w:val="00EA26C0"/>
    <w:rsid w:val="00EE476A"/>
    <w:rsid w:val="00F72024"/>
    <w:rsid w:val="00F9462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74909FE"/>
  <w14:defaultImageDpi w14:val="300"/>
  <w15:docId w15:val="{6C28E7BD-C910-41ED-ABF6-801738997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1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01BC"/>
    <w:rPr>
      <w:rFonts w:ascii="Lucida Grande" w:hAnsi="Lucida Grande" w:cs="Lucida Grande"/>
      <w:sz w:val="18"/>
      <w:szCs w:val="18"/>
    </w:rPr>
  </w:style>
  <w:style w:type="paragraph" w:styleId="ListParagraph">
    <w:name w:val="List Paragraph"/>
    <w:basedOn w:val="Normal"/>
    <w:uiPriority w:val="34"/>
    <w:qFormat/>
    <w:rsid w:val="00EA26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9360">
      <w:bodyDiv w:val="1"/>
      <w:marLeft w:val="0"/>
      <w:marRight w:val="0"/>
      <w:marTop w:val="0"/>
      <w:marBottom w:val="0"/>
      <w:divBdr>
        <w:top w:val="none" w:sz="0" w:space="0" w:color="auto"/>
        <w:left w:val="none" w:sz="0" w:space="0" w:color="auto"/>
        <w:bottom w:val="none" w:sz="0" w:space="0" w:color="auto"/>
        <w:right w:val="none" w:sz="0" w:space="0" w:color="auto"/>
      </w:divBdr>
    </w:div>
    <w:div w:id="132143519">
      <w:bodyDiv w:val="1"/>
      <w:marLeft w:val="0"/>
      <w:marRight w:val="0"/>
      <w:marTop w:val="0"/>
      <w:marBottom w:val="0"/>
      <w:divBdr>
        <w:top w:val="none" w:sz="0" w:space="0" w:color="auto"/>
        <w:left w:val="none" w:sz="0" w:space="0" w:color="auto"/>
        <w:bottom w:val="none" w:sz="0" w:space="0" w:color="auto"/>
        <w:right w:val="none" w:sz="0" w:space="0" w:color="auto"/>
      </w:divBdr>
    </w:div>
    <w:div w:id="175121167">
      <w:bodyDiv w:val="1"/>
      <w:marLeft w:val="0"/>
      <w:marRight w:val="0"/>
      <w:marTop w:val="0"/>
      <w:marBottom w:val="0"/>
      <w:divBdr>
        <w:top w:val="none" w:sz="0" w:space="0" w:color="auto"/>
        <w:left w:val="none" w:sz="0" w:space="0" w:color="auto"/>
        <w:bottom w:val="none" w:sz="0" w:space="0" w:color="auto"/>
        <w:right w:val="none" w:sz="0" w:space="0" w:color="auto"/>
      </w:divBdr>
      <w:divsChild>
        <w:div w:id="884291822">
          <w:marLeft w:val="0"/>
          <w:marRight w:val="0"/>
          <w:marTop w:val="0"/>
          <w:marBottom w:val="0"/>
          <w:divBdr>
            <w:top w:val="none" w:sz="0" w:space="0" w:color="auto"/>
            <w:left w:val="none" w:sz="0" w:space="0" w:color="auto"/>
            <w:bottom w:val="none" w:sz="0" w:space="0" w:color="auto"/>
            <w:right w:val="none" w:sz="0" w:space="0" w:color="auto"/>
          </w:divBdr>
        </w:div>
      </w:divsChild>
    </w:div>
    <w:div w:id="220823136">
      <w:bodyDiv w:val="1"/>
      <w:marLeft w:val="0"/>
      <w:marRight w:val="0"/>
      <w:marTop w:val="0"/>
      <w:marBottom w:val="0"/>
      <w:divBdr>
        <w:top w:val="none" w:sz="0" w:space="0" w:color="auto"/>
        <w:left w:val="none" w:sz="0" w:space="0" w:color="auto"/>
        <w:bottom w:val="none" w:sz="0" w:space="0" w:color="auto"/>
        <w:right w:val="none" w:sz="0" w:space="0" w:color="auto"/>
      </w:divBdr>
      <w:divsChild>
        <w:div w:id="2083331444">
          <w:marLeft w:val="0"/>
          <w:marRight w:val="0"/>
          <w:marTop w:val="0"/>
          <w:marBottom w:val="0"/>
          <w:divBdr>
            <w:top w:val="none" w:sz="0" w:space="0" w:color="auto"/>
            <w:left w:val="none" w:sz="0" w:space="0" w:color="auto"/>
            <w:bottom w:val="none" w:sz="0" w:space="0" w:color="auto"/>
            <w:right w:val="none" w:sz="0" w:space="0" w:color="auto"/>
          </w:divBdr>
        </w:div>
      </w:divsChild>
    </w:div>
    <w:div w:id="221478372">
      <w:bodyDiv w:val="1"/>
      <w:marLeft w:val="0"/>
      <w:marRight w:val="0"/>
      <w:marTop w:val="0"/>
      <w:marBottom w:val="0"/>
      <w:divBdr>
        <w:top w:val="none" w:sz="0" w:space="0" w:color="auto"/>
        <w:left w:val="none" w:sz="0" w:space="0" w:color="auto"/>
        <w:bottom w:val="none" w:sz="0" w:space="0" w:color="auto"/>
        <w:right w:val="none" w:sz="0" w:space="0" w:color="auto"/>
      </w:divBdr>
      <w:divsChild>
        <w:div w:id="481508340">
          <w:marLeft w:val="0"/>
          <w:marRight w:val="0"/>
          <w:marTop w:val="0"/>
          <w:marBottom w:val="0"/>
          <w:divBdr>
            <w:top w:val="none" w:sz="0" w:space="0" w:color="auto"/>
            <w:left w:val="none" w:sz="0" w:space="0" w:color="auto"/>
            <w:bottom w:val="none" w:sz="0" w:space="0" w:color="auto"/>
            <w:right w:val="none" w:sz="0" w:space="0" w:color="auto"/>
          </w:divBdr>
        </w:div>
      </w:divsChild>
    </w:div>
    <w:div w:id="531235572">
      <w:bodyDiv w:val="1"/>
      <w:marLeft w:val="0"/>
      <w:marRight w:val="0"/>
      <w:marTop w:val="0"/>
      <w:marBottom w:val="0"/>
      <w:divBdr>
        <w:top w:val="none" w:sz="0" w:space="0" w:color="auto"/>
        <w:left w:val="none" w:sz="0" w:space="0" w:color="auto"/>
        <w:bottom w:val="none" w:sz="0" w:space="0" w:color="auto"/>
        <w:right w:val="none" w:sz="0" w:space="0" w:color="auto"/>
      </w:divBdr>
    </w:div>
    <w:div w:id="933898807">
      <w:bodyDiv w:val="1"/>
      <w:marLeft w:val="0"/>
      <w:marRight w:val="0"/>
      <w:marTop w:val="0"/>
      <w:marBottom w:val="0"/>
      <w:divBdr>
        <w:top w:val="none" w:sz="0" w:space="0" w:color="auto"/>
        <w:left w:val="none" w:sz="0" w:space="0" w:color="auto"/>
        <w:bottom w:val="none" w:sz="0" w:space="0" w:color="auto"/>
        <w:right w:val="none" w:sz="0" w:space="0" w:color="auto"/>
      </w:divBdr>
      <w:divsChild>
        <w:div w:id="192504330">
          <w:marLeft w:val="0"/>
          <w:marRight w:val="0"/>
          <w:marTop w:val="0"/>
          <w:marBottom w:val="0"/>
          <w:divBdr>
            <w:top w:val="none" w:sz="0" w:space="0" w:color="auto"/>
            <w:left w:val="none" w:sz="0" w:space="0" w:color="auto"/>
            <w:bottom w:val="none" w:sz="0" w:space="0" w:color="auto"/>
            <w:right w:val="none" w:sz="0" w:space="0" w:color="auto"/>
          </w:divBdr>
        </w:div>
      </w:divsChild>
    </w:div>
    <w:div w:id="986471571">
      <w:bodyDiv w:val="1"/>
      <w:marLeft w:val="0"/>
      <w:marRight w:val="0"/>
      <w:marTop w:val="0"/>
      <w:marBottom w:val="0"/>
      <w:divBdr>
        <w:top w:val="none" w:sz="0" w:space="0" w:color="auto"/>
        <w:left w:val="none" w:sz="0" w:space="0" w:color="auto"/>
        <w:bottom w:val="none" w:sz="0" w:space="0" w:color="auto"/>
        <w:right w:val="none" w:sz="0" w:space="0" w:color="auto"/>
      </w:divBdr>
      <w:divsChild>
        <w:div w:id="26297781">
          <w:marLeft w:val="0"/>
          <w:marRight w:val="0"/>
          <w:marTop w:val="0"/>
          <w:marBottom w:val="0"/>
          <w:divBdr>
            <w:top w:val="none" w:sz="0" w:space="0" w:color="auto"/>
            <w:left w:val="none" w:sz="0" w:space="0" w:color="auto"/>
            <w:bottom w:val="none" w:sz="0" w:space="0" w:color="auto"/>
            <w:right w:val="none" w:sz="0" w:space="0" w:color="auto"/>
          </w:divBdr>
        </w:div>
      </w:divsChild>
    </w:div>
    <w:div w:id="1402289862">
      <w:bodyDiv w:val="1"/>
      <w:marLeft w:val="0"/>
      <w:marRight w:val="0"/>
      <w:marTop w:val="0"/>
      <w:marBottom w:val="0"/>
      <w:divBdr>
        <w:top w:val="none" w:sz="0" w:space="0" w:color="auto"/>
        <w:left w:val="none" w:sz="0" w:space="0" w:color="auto"/>
        <w:bottom w:val="none" w:sz="0" w:space="0" w:color="auto"/>
        <w:right w:val="none" w:sz="0" w:space="0" w:color="auto"/>
      </w:divBdr>
      <w:divsChild>
        <w:div w:id="1472940723">
          <w:marLeft w:val="0"/>
          <w:marRight w:val="0"/>
          <w:marTop w:val="0"/>
          <w:marBottom w:val="0"/>
          <w:divBdr>
            <w:top w:val="none" w:sz="0" w:space="0" w:color="auto"/>
            <w:left w:val="none" w:sz="0" w:space="0" w:color="auto"/>
            <w:bottom w:val="none" w:sz="0" w:space="0" w:color="auto"/>
            <w:right w:val="none" w:sz="0" w:space="0" w:color="auto"/>
          </w:divBdr>
          <w:divsChild>
            <w:div w:id="1521696557">
              <w:marLeft w:val="0"/>
              <w:marRight w:val="0"/>
              <w:marTop w:val="0"/>
              <w:marBottom w:val="0"/>
              <w:divBdr>
                <w:top w:val="none" w:sz="0" w:space="0" w:color="auto"/>
                <w:left w:val="none" w:sz="0" w:space="0" w:color="auto"/>
                <w:bottom w:val="none" w:sz="0" w:space="0" w:color="auto"/>
                <w:right w:val="none" w:sz="0" w:space="0" w:color="auto"/>
              </w:divBdr>
              <w:divsChild>
                <w:div w:id="403453434">
                  <w:marLeft w:val="0"/>
                  <w:marRight w:val="0"/>
                  <w:marTop w:val="0"/>
                  <w:marBottom w:val="0"/>
                  <w:divBdr>
                    <w:top w:val="none" w:sz="0" w:space="0" w:color="auto"/>
                    <w:left w:val="none" w:sz="0" w:space="0" w:color="auto"/>
                    <w:bottom w:val="none" w:sz="0" w:space="0" w:color="auto"/>
                    <w:right w:val="none" w:sz="0" w:space="0" w:color="auto"/>
                  </w:divBdr>
                  <w:divsChild>
                    <w:div w:id="880097164">
                      <w:marLeft w:val="0"/>
                      <w:marRight w:val="0"/>
                      <w:marTop w:val="0"/>
                      <w:marBottom w:val="0"/>
                      <w:divBdr>
                        <w:top w:val="none" w:sz="0" w:space="0" w:color="auto"/>
                        <w:left w:val="none" w:sz="0" w:space="0" w:color="auto"/>
                        <w:bottom w:val="none" w:sz="0" w:space="0" w:color="auto"/>
                        <w:right w:val="none" w:sz="0" w:space="0" w:color="auto"/>
                      </w:divBdr>
                      <w:divsChild>
                        <w:div w:id="13526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782068">
              <w:marLeft w:val="0"/>
              <w:marRight w:val="0"/>
              <w:marTop w:val="0"/>
              <w:marBottom w:val="0"/>
              <w:divBdr>
                <w:top w:val="none" w:sz="0" w:space="0" w:color="auto"/>
                <w:left w:val="none" w:sz="0" w:space="0" w:color="auto"/>
                <w:bottom w:val="none" w:sz="0" w:space="0" w:color="auto"/>
                <w:right w:val="none" w:sz="0" w:space="0" w:color="auto"/>
              </w:divBdr>
            </w:div>
            <w:div w:id="1164053272">
              <w:marLeft w:val="0"/>
              <w:marRight w:val="0"/>
              <w:marTop w:val="0"/>
              <w:marBottom w:val="0"/>
              <w:divBdr>
                <w:top w:val="none" w:sz="0" w:space="0" w:color="auto"/>
                <w:left w:val="none" w:sz="0" w:space="0" w:color="auto"/>
                <w:bottom w:val="none" w:sz="0" w:space="0" w:color="auto"/>
                <w:right w:val="none" w:sz="0" w:space="0" w:color="auto"/>
              </w:divBdr>
              <w:divsChild>
                <w:div w:id="421688653">
                  <w:marLeft w:val="0"/>
                  <w:marRight w:val="0"/>
                  <w:marTop w:val="0"/>
                  <w:marBottom w:val="0"/>
                  <w:divBdr>
                    <w:top w:val="none" w:sz="0" w:space="0" w:color="auto"/>
                    <w:left w:val="none" w:sz="0" w:space="0" w:color="auto"/>
                    <w:bottom w:val="none" w:sz="0" w:space="0" w:color="auto"/>
                    <w:right w:val="none" w:sz="0" w:space="0" w:color="auto"/>
                  </w:divBdr>
                  <w:divsChild>
                    <w:div w:id="1608541375">
                      <w:marLeft w:val="0"/>
                      <w:marRight w:val="0"/>
                      <w:marTop w:val="0"/>
                      <w:marBottom w:val="0"/>
                      <w:divBdr>
                        <w:top w:val="none" w:sz="0" w:space="0" w:color="auto"/>
                        <w:left w:val="none" w:sz="0" w:space="0" w:color="auto"/>
                        <w:bottom w:val="none" w:sz="0" w:space="0" w:color="auto"/>
                        <w:right w:val="none" w:sz="0" w:space="0" w:color="auto"/>
                      </w:divBdr>
                      <w:divsChild>
                        <w:div w:id="202940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062586">
              <w:marLeft w:val="0"/>
              <w:marRight w:val="0"/>
              <w:marTop w:val="0"/>
              <w:marBottom w:val="0"/>
              <w:divBdr>
                <w:top w:val="none" w:sz="0" w:space="0" w:color="auto"/>
                <w:left w:val="none" w:sz="0" w:space="0" w:color="auto"/>
                <w:bottom w:val="none" w:sz="0" w:space="0" w:color="auto"/>
                <w:right w:val="none" w:sz="0" w:space="0" w:color="auto"/>
              </w:divBdr>
            </w:div>
            <w:div w:id="256407276">
              <w:marLeft w:val="0"/>
              <w:marRight w:val="0"/>
              <w:marTop w:val="0"/>
              <w:marBottom w:val="0"/>
              <w:divBdr>
                <w:top w:val="none" w:sz="0" w:space="0" w:color="auto"/>
                <w:left w:val="none" w:sz="0" w:space="0" w:color="auto"/>
                <w:bottom w:val="none" w:sz="0" w:space="0" w:color="auto"/>
                <w:right w:val="none" w:sz="0" w:space="0" w:color="auto"/>
              </w:divBdr>
              <w:divsChild>
                <w:div w:id="1058288404">
                  <w:marLeft w:val="0"/>
                  <w:marRight w:val="0"/>
                  <w:marTop w:val="0"/>
                  <w:marBottom w:val="0"/>
                  <w:divBdr>
                    <w:top w:val="none" w:sz="0" w:space="0" w:color="auto"/>
                    <w:left w:val="none" w:sz="0" w:space="0" w:color="auto"/>
                    <w:bottom w:val="none" w:sz="0" w:space="0" w:color="auto"/>
                    <w:right w:val="none" w:sz="0" w:space="0" w:color="auto"/>
                  </w:divBdr>
                  <w:divsChild>
                    <w:div w:id="1489058194">
                      <w:marLeft w:val="0"/>
                      <w:marRight w:val="0"/>
                      <w:marTop w:val="0"/>
                      <w:marBottom w:val="0"/>
                      <w:divBdr>
                        <w:top w:val="none" w:sz="0" w:space="0" w:color="auto"/>
                        <w:left w:val="none" w:sz="0" w:space="0" w:color="auto"/>
                        <w:bottom w:val="none" w:sz="0" w:space="0" w:color="auto"/>
                        <w:right w:val="none" w:sz="0" w:space="0" w:color="auto"/>
                      </w:divBdr>
                      <w:divsChild>
                        <w:div w:id="11338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000795">
      <w:bodyDiv w:val="1"/>
      <w:marLeft w:val="0"/>
      <w:marRight w:val="0"/>
      <w:marTop w:val="0"/>
      <w:marBottom w:val="0"/>
      <w:divBdr>
        <w:top w:val="none" w:sz="0" w:space="0" w:color="auto"/>
        <w:left w:val="none" w:sz="0" w:space="0" w:color="auto"/>
        <w:bottom w:val="none" w:sz="0" w:space="0" w:color="auto"/>
        <w:right w:val="none" w:sz="0" w:space="0" w:color="auto"/>
      </w:divBdr>
      <w:divsChild>
        <w:div w:id="869613548">
          <w:marLeft w:val="0"/>
          <w:marRight w:val="0"/>
          <w:marTop w:val="0"/>
          <w:marBottom w:val="0"/>
          <w:divBdr>
            <w:top w:val="none" w:sz="0" w:space="0" w:color="auto"/>
            <w:left w:val="none" w:sz="0" w:space="0" w:color="auto"/>
            <w:bottom w:val="none" w:sz="0" w:space="0" w:color="auto"/>
            <w:right w:val="none" w:sz="0" w:space="0" w:color="auto"/>
          </w:divBdr>
        </w:div>
      </w:divsChild>
    </w:div>
    <w:div w:id="1569153121">
      <w:bodyDiv w:val="1"/>
      <w:marLeft w:val="0"/>
      <w:marRight w:val="0"/>
      <w:marTop w:val="0"/>
      <w:marBottom w:val="0"/>
      <w:divBdr>
        <w:top w:val="none" w:sz="0" w:space="0" w:color="auto"/>
        <w:left w:val="none" w:sz="0" w:space="0" w:color="auto"/>
        <w:bottom w:val="none" w:sz="0" w:space="0" w:color="auto"/>
        <w:right w:val="none" w:sz="0" w:space="0" w:color="auto"/>
      </w:divBdr>
    </w:div>
    <w:div w:id="1590389123">
      <w:bodyDiv w:val="1"/>
      <w:marLeft w:val="0"/>
      <w:marRight w:val="0"/>
      <w:marTop w:val="0"/>
      <w:marBottom w:val="0"/>
      <w:divBdr>
        <w:top w:val="none" w:sz="0" w:space="0" w:color="auto"/>
        <w:left w:val="none" w:sz="0" w:space="0" w:color="auto"/>
        <w:bottom w:val="none" w:sz="0" w:space="0" w:color="auto"/>
        <w:right w:val="none" w:sz="0" w:space="0" w:color="auto"/>
      </w:divBdr>
      <w:divsChild>
        <w:div w:id="1191340329">
          <w:marLeft w:val="0"/>
          <w:marRight w:val="0"/>
          <w:marTop w:val="0"/>
          <w:marBottom w:val="0"/>
          <w:divBdr>
            <w:top w:val="none" w:sz="0" w:space="0" w:color="auto"/>
            <w:left w:val="none" w:sz="0" w:space="0" w:color="auto"/>
            <w:bottom w:val="none" w:sz="0" w:space="0" w:color="auto"/>
            <w:right w:val="none" w:sz="0" w:space="0" w:color="auto"/>
          </w:divBdr>
        </w:div>
      </w:divsChild>
    </w:div>
    <w:div w:id="1647394151">
      <w:bodyDiv w:val="1"/>
      <w:marLeft w:val="0"/>
      <w:marRight w:val="0"/>
      <w:marTop w:val="0"/>
      <w:marBottom w:val="0"/>
      <w:divBdr>
        <w:top w:val="none" w:sz="0" w:space="0" w:color="auto"/>
        <w:left w:val="none" w:sz="0" w:space="0" w:color="auto"/>
        <w:bottom w:val="none" w:sz="0" w:space="0" w:color="auto"/>
        <w:right w:val="none" w:sz="0" w:space="0" w:color="auto"/>
      </w:divBdr>
    </w:div>
    <w:div w:id="1737705106">
      <w:bodyDiv w:val="1"/>
      <w:marLeft w:val="0"/>
      <w:marRight w:val="0"/>
      <w:marTop w:val="0"/>
      <w:marBottom w:val="0"/>
      <w:divBdr>
        <w:top w:val="none" w:sz="0" w:space="0" w:color="auto"/>
        <w:left w:val="none" w:sz="0" w:space="0" w:color="auto"/>
        <w:bottom w:val="none" w:sz="0" w:space="0" w:color="auto"/>
        <w:right w:val="none" w:sz="0" w:space="0" w:color="auto"/>
      </w:divBdr>
      <w:divsChild>
        <w:div w:id="2046907254">
          <w:marLeft w:val="0"/>
          <w:marRight w:val="0"/>
          <w:marTop w:val="0"/>
          <w:marBottom w:val="0"/>
          <w:divBdr>
            <w:top w:val="none" w:sz="0" w:space="0" w:color="auto"/>
            <w:left w:val="none" w:sz="0" w:space="0" w:color="auto"/>
            <w:bottom w:val="none" w:sz="0" w:space="0" w:color="auto"/>
            <w:right w:val="none" w:sz="0" w:space="0" w:color="auto"/>
          </w:divBdr>
        </w:div>
      </w:divsChild>
    </w:div>
    <w:div w:id="1986161319">
      <w:bodyDiv w:val="1"/>
      <w:marLeft w:val="0"/>
      <w:marRight w:val="0"/>
      <w:marTop w:val="0"/>
      <w:marBottom w:val="0"/>
      <w:divBdr>
        <w:top w:val="none" w:sz="0" w:space="0" w:color="auto"/>
        <w:left w:val="none" w:sz="0" w:space="0" w:color="auto"/>
        <w:bottom w:val="none" w:sz="0" w:space="0" w:color="auto"/>
        <w:right w:val="none" w:sz="0" w:space="0" w:color="auto"/>
      </w:divBdr>
      <w:divsChild>
        <w:div w:id="481120094">
          <w:marLeft w:val="0"/>
          <w:marRight w:val="0"/>
          <w:marTop w:val="0"/>
          <w:marBottom w:val="0"/>
          <w:divBdr>
            <w:top w:val="none" w:sz="0" w:space="0" w:color="auto"/>
            <w:left w:val="none" w:sz="0" w:space="0" w:color="auto"/>
            <w:bottom w:val="none" w:sz="0" w:space="0" w:color="auto"/>
            <w:right w:val="none" w:sz="0" w:space="0" w:color="auto"/>
          </w:divBdr>
          <w:divsChild>
            <w:div w:id="158155040">
              <w:marLeft w:val="0"/>
              <w:marRight w:val="0"/>
              <w:marTop w:val="0"/>
              <w:marBottom w:val="0"/>
              <w:divBdr>
                <w:top w:val="none" w:sz="0" w:space="0" w:color="auto"/>
                <w:left w:val="none" w:sz="0" w:space="0" w:color="auto"/>
                <w:bottom w:val="none" w:sz="0" w:space="0" w:color="auto"/>
                <w:right w:val="none" w:sz="0" w:space="0" w:color="auto"/>
              </w:divBdr>
              <w:divsChild>
                <w:div w:id="1415973205">
                  <w:marLeft w:val="0"/>
                  <w:marRight w:val="0"/>
                  <w:marTop w:val="0"/>
                  <w:marBottom w:val="0"/>
                  <w:divBdr>
                    <w:top w:val="none" w:sz="0" w:space="0" w:color="auto"/>
                    <w:left w:val="none" w:sz="0" w:space="0" w:color="auto"/>
                    <w:bottom w:val="none" w:sz="0" w:space="0" w:color="auto"/>
                    <w:right w:val="none" w:sz="0" w:space="0" w:color="auto"/>
                  </w:divBdr>
                  <w:divsChild>
                    <w:div w:id="2063865870">
                      <w:marLeft w:val="0"/>
                      <w:marRight w:val="0"/>
                      <w:marTop w:val="0"/>
                      <w:marBottom w:val="0"/>
                      <w:divBdr>
                        <w:top w:val="none" w:sz="0" w:space="0" w:color="auto"/>
                        <w:left w:val="none" w:sz="0" w:space="0" w:color="auto"/>
                        <w:bottom w:val="none" w:sz="0" w:space="0" w:color="auto"/>
                        <w:right w:val="none" w:sz="0" w:space="0" w:color="auto"/>
                      </w:divBdr>
                      <w:divsChild>
                        <w:div w:id="19841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5571">
              <w:marLeft w:val="0"/>
              <w:marRight w:val="0"/>
              <w:marTop w:val="0"/>
              <w:marBottom w:val="0"/>
              <w:divBdr>
                <w:top w:val="none" w:sz="0" w:space="0" w:color="auto"/>
                <w:left w:val="none" w:sz="0" w:space="0" w:color="auto"/>
                <w:bottom w:val="none" w:sz="0" w:space="0" w:color="auto"/>
                <w:right w:val="none" w:sz="0" w:space="0" w:color="auto"/>
              </w:divBdr>
            </w:div>
            <w:div w:id="1925335811">
              <w:marLeft w:val="0"/>
              <w:marRight w:val="0"/>
              <w:marTop w:val="0"/>
              <w:marBottom w:val="0"/>
              <w:divBdr>
                <w:top w:val="none" w:sz="0" w:space="0" w:color="auto"/>
                <w:left w:val="none" w:sz="0" w:space="0" w:color="auto"/>
                <w:bottom w:val="none" w:sz="0" w:space="0" w:color="auto"/>
                <w:right w:val="none" w:sz="0" w:space="0" w:color="auto"/>
              </w:divBdr>
              <w:divsChild>
                <w:div w:id="671876927">
                  <w:marLeft w:val="0"/>
                  <w:marRight w:val="0"/>
                  <w:marTop w:val="0"/>
                  <w:marBottom w:val="0"/>
                  <w:divBdr>
                    <w:top w:val="none" w:sz="0" w:space="0" w:color="auto"/>
                    <w:left w:val="none" w:sz="0" w:space="0" w:color="auto"/>
                    <w:bottom w:val="none" w:sz="0" w:space="0" w:color="auto"/>
                    <w:right w:val="none" w:sz="0" w:space="0" w:color="auto"/>
                  </w:divBdr>
                  <w:divsChild>
                    <w:div w:id="802695268">
                      <w:marLeft w:val="0"/>
                      <w:marRight w:val="0"/>
                      <w:marTop w:val="0"/>
                      <w:marBottom w:val="0"/>
                      <w:divBdr>
                        <w:top w:val="none" w:sz="0" w:space="0" w:color="auto"/>
                        <w:left w:val="none" w:sz="0" w:space="0" w:color="auto"/>
                        <w:bottom w:val="none" w:sz="0" w:space="0" w:color="auto"/>
                        <w:right w:val="none" w:sz="0" w:space="0" w:color="auto"/>
                      </w:divBdr>
                      <w:divsChild>
                        <w:div w:id="188829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60002">
              <w:marLeft w:val="0"/>
              <w:marRight w:val="0"/>
              <w:marTop w:val="0"/>
              <w:marBottom w:val="0"/>
              <w:divBdr>
                <w:top w:val="none" w:sz="0" w:space="0" w:color="auto"/>
                <w:left w:val="none" w:sz="0" w:space="0" w:color="auto"/>
                <w:bottom w:val="none" w:sz="0" w:space="0" w:color="auto"/>
                <w:right w:val="none" w:sz="0" w:space="0" w:color="auto"/>
              </w:divBdr>
            </w:div>
            <w:div w:id="140192945">
              <w:marLeft w:val="0"/>
              <w:marRight w:val="0"/>
              <w:marTop w:val="0"/>
              <w:marBottom w:val="0"/>
              <w:divBdr>
                <w:top w:val="none" w:sz="0" w:space="0" w:color="auto"/>
                <w:left w:val="none" w:sz="0" w:space="0" w:color="auto"/>
                <w:bottom w:val="none" w:sz="0" w:space="0" w:color="auto"/>
                <w:right w:val="none" w:sz="0" w:space="0" w:color="auto"/>
              </w:divBdr>
              <w:divsChild>
                <w:div w:id="863329510">
                  <w:marLeft w:val="0"/>
                  <w:marRight w:val="0"/>
                  <w:marTop w:val="0"/>
                  <w:marBottom w:val="0"/>
                  <w:divBdr>
                    <w:top w:val="none" w:sz="0" w:space="0" w:color="auto"/>
                    <w:left w:val="none" w:sz="0" w:space="0" w:color="auto"/>
                    <w:bottom w:val="none" w:sz="0" w:space="0" w:color="auto"/>
                    <w:right w:val="none" w:sz="0" w:space="0" w:color="auto"/>
                  </w:divBdr>
                  <w:divsChild>
                    <w:div w:id="2080134672">
                      <w:marLeft w:val="0"/>
                      <w:marRight w:val="0"/>
                      <w:marTop w:val="0"/>
                      <w:marBottom w:val="0"/>
                      <w:divBdr>
                        <w:top w:val="none" w:sz="0" w:space="0" w:color="auto"/>
                        <w:left w:val="none" w:sz="0" w:space="0" w:color="auto"/>
                        <w:bottom w:val="none" w:sz="0" w:space="0" w:color="auto"/>
                        <w:right w:val="none" w:sz="0" w:space="0" w:color="auto"/>
                      </w:divBdr>
                      <w:divsChild>
                        <w:div w:id="188082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11</Pages>
  <Words>2179</Words>
  <Characters>12423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EEE</Company>
  <LinksUpToDate>false</LinksUpToDate>
  <CharactersWithSpaces>14573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Crustacean Crusty</dc:creator>
  <cp:keywords/>
  <dc:description/>
  <cp:lastModifiedBy>Surette, Tobie</cp:lastModifiedBy>
  <cp:revision>21</cp:revision>
  <dcterms:created xsi:type="dcterms:W3CDTF">2020-12-15T19:54:00Z</dcterms:created>
  <dcterms:modified xsi:type="dcterms:W3CDTF">2021-01-12T16:01:00Z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2021-01-05T12:47:11Z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e75f73ba-8dc1-4844-8ec6-0000ff0532f2</vt:lpwstr>
  </property>
</Properties>
</file>