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181DF" w14:textId="77777777" w:rsidR="00C86DE0" w:rsidRPr="003A16CF" w:rsidRDefault="006F2C4A">
      <w:pPr>
        <w:rPr>
          <w:b/>
        </w:rPr>
      </w:pPr>
      <w:r>
        <w:rPr>
          <w:b/>
        </w:rPr>
        <w:t xml:space="preserve">South GSL </w:t>
      </w:r>
      <w:r w:rsidR="003A16CF" w:rsidRPr="003A16CF">
        <w:rPr>
          <w:b/>
        </w:rPr>
        <w:t>females</w:t>
      </w:r>
    </w:p>
    <w:p w14:paraId="7B7029A4" w14:textId="77777777" w:rsidR="006F2C4A" w:rsidRDefault="006F2C4A">
      <w:r>
        <w:t>General question: Sampled area constant over time?</w:t>
      </w:r>
      <w:r w:rsidR="00D17818">
        <w:t xml:space="preserve"> If not, what were the years in which a</w:t>
      </w:r>
      <w:r w:rsidR="007820DB">
        <w:t xml:space="preserve"> change in survey area occurred?</w:t>
      </w:r>
      <w:r w:rsidR="007F5A25">
        <w:t xml:space="preserve"> </w:t>
      </w:r>
    </w:p>
    <w:p w14:paraId="18FA6C6C" w14:textId="77777777" w:rsidR="007F5A25" w:rsidRDefault="007F5A25" w:rsidP="007F5A25">
      <w:pPr>
        <w:pStyle w:val="ListParagraph"/>
        <w:numPr>
          <w:ilvl w:val="0"/>
          <w:numId w:val="3"/>
        </w:numPr>
      </w:pPr>
      <w:r>
        <w:t>The survey more or less gradually expanded into marginal habitat areas until 2005. Since 2006, survey stations were spatially homogeneous, though reshuffling of the station locat</w:t>
      </w:r>
      <w:r w:rsidR="00CD0898">
        <w:t>ions were made in 2006 and 2011 and 2012.</w:t>
      </w:r>
    </w:p>
    <w:p w14:paraId="5A1E17D1" w14:textId="77777777" w:rsidR="00CD0898" w:rsidRDefault="00CD0898" w:rsidP="00CD0898">
      <w:pPr>
        <w:pStyle w:val="ListParagraph"/>
        <w:numPr>
          <w:ilvl w:val="0"/>
          <w:numId w:val="3"/>
        </w:numPr>
      </w:pPr>
      <w:r>
        <w:t xml:space="preserve">In earlier survey years, I would consider that the survey area covered most of the prime </w:t>
      </w:r>
      <w:proofErr w:type="gramStart"/>
      <w:r>
        <w:t>habitat,</w:t>
      </w:r>
      <w:proofErr w:type="gramEnd"/>
      <w:r>
        <w:t xml:space="preserve"> though it is possible that adding more marginal habitat would change the proportion estimates somewhat. </w:t>
      </w:r>
    </w:p>
    <w:p w14:paraId="4F8489B0" w14:textId="77777777" w:rsidR="00CD0898" w:rsidRDefault="00CD0898" w:rsidP="00CD0898">
      <w:pPr>
        <w:pStyle w:val="ListParagraph"/>
        <w:numPr>
          <w:ilvl w:val="0"/>
          <w:numId w:val="3"/>
        </w:numPr>
      </w:pPr>
      <w:r>
        <w:t>I suspect that there are sampler/year effects in the shell condition categorizations. Comparisons with colorimeter data in 2018 showed that there was an issue distinguishing between shell condition 2 and 3 for that year. Survey year 1995 in particular shows very low levels of new-shelled crab.</w:t>
      </w:r>
    </w:p>
    <w:p w14:paraId="2AA2F9D5" w14:textId="77777777" w:rsidR="00CD0898" w:rsidRDefault="00CD0898" w:rsidP="00CD0898">
      <w:pPr>
        <w:pStyle w:val="ListParagraph"/>
        <w:numPr>
          <w:ilvl w:val="0"/>
          <w:numId w:val="3"/>
        </w:numPr>
      </w:pPr>
      <w:r>
        <w:t>1996 was a partial survey year</w:t>
      </w:r>
      <w:r w:rsidR="00BD4207">
        <w:t>, with only 72 tows performed that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6"/>
        <w:gridCol w:w="4650"/>
      </w:tblGrid>
      <w:tr w:rsidR="00C86DE0" w14:paraId="46AC6AB1" w14:textId="77777777" w:rsidTr="00C86DE0">
        <w:tc>
          <w:tcPr>
            <w:tcW w:w="4675" w:type="dxa"/>
          </w:tcPr>
          <w:p w14:paraId="49573280" w14:textId="77777777" w:rsidR="003A16CF" w:rsidRDefault="003A16CF"/>
          <w:p w14:paraId="31393556" w14:textId="77777777" w:rsidR="00C86DE0" w:rsidRDefault="00C86DE0">
            <w:r>
              <w:t>Fig. 1</w:t>
            </w:r>
          </w:p>
          <w:p w14:paraId="7AC0001A" w14:textId="77777777" w:rsidR="00C86DE0" w:rsidRDefault="00C86DE0">
            <w:r w:rsidRPr="007C58A2">
              <w:rPr>
                <w:noProof/>
              </w:rPr>
              <w:drawing>
                <wp:inline distT="0" distB="0" distL="0" distR="0" wp14:anchorId="3E38A8C7" wp14:editId="1EAFB290">
                  <wp:extent cx="3362400" cy="324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4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0D9CF" w14:textId="77777777" w:rsidR="00C86DE0" w:rsidRDefault="00C86DE0"/>
        </w:tc>
        <w:tc>
          <w:tcPr>
            <w:tcW w:w="4675" w:type="dxa"/>
          </w:tcPr>
          <w:p w14:paraId="1140B77D" w14:textId="77777777" w:rsidR="00C86DE0" w:rsidRDefault="00C86DE0"/>
          <w:p w14:paraId="7ACBEF5A" w14:textId="77777777" w:rsidR="003A16CF" w:rsidRDefault="003A16CF" w:rsidP="003A16CF">
            <w:pPr>
              <w:spacing w:after="120"/>
            </w:pPr>
            <w:r>
              <w:t>1) What do the error bars represent?</w:t>
            </w:r>
          </w:p>
          <w:p w14:paraId="7CAA51B1" w14:textId="77777777" w:rsidR="00CD0898" w:rsidRDefault="00CD0898" w:rsidP="00CD0898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Confidence intervals of the aggregate samples.</w:t>
            </w:r>
          </w:p>
          <w:p w14:paraId="2D0CF933" w14:textId="77777777" w:rsidR="003A16CF" w:rsidRDefault="003A16CF" w:rsidP="003A16CF">
            <w:pPr>
              <w:spacing w:after="120"/>
            </w:pPr>
            <w:r>
              <w:t>2) What is the sample size by year?</w:t>
            </w:r>
          </w:p>
          <w:tbl>
            <w:tblPr>
              <w:tblW w:w="3900" w:type="dxa"/>
              <w:tblLook w:val="04A0" w:firstRow="1" w:lastRow="0" w:firstColumn="1" w:lastColumn="0" w:noHBand="0" w:noVBand="1"/>
            </w:tblPr>
            <w:tblGrid>
              <w:gridCol w:w="1300"/>
              <w:gridCol w:w="1300"/>
              <w:gridCol w:w="1300"/>
            </w:tblGrid>
            <w:tr w:rsidR="00CD0898" w:rsidRPr="00CD0898" w14:paraId="618C4242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0E3C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proofErr w:type="gramStart"/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year</w:t>
                  </w:r>
                  <w:proofErr w:type="gram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F49B9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proofErr w:type="gramStart"/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immature</w:t>
                  </w:r>
                  <w:proofErr w:type="gram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BFE6B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proofErr w:type="gramStart"/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mature</w:t>
                  </w:r>
                  <w:proofErr w:type="gramEnd"/>
                </w:p>
              </w:tc>
            </w:tr>
            <w:tr w:rsidR="00CD0898" w:rsidRPr="00CD0898" w14:paraId="7E21A61C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6D3B0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3EE7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1717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10C4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3792</w:t>
                  </w:r>
                </w:p>
              </w:tc>
            </w:tr>
            <w:tr w:rsidR="00CD0898" w:rsidRPr="00CD0898" w14:paraId="1CD751B5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E6C97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8D6C4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436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3E510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794</w:t>
                  </w:r>
                </w:p>
              </w:tc>
            </w:tr>
            <w:tr w:rsidR="00CD0898" w:rsidRPr="00CD0898" w14:paraId="396F04B8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65DC1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77626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1311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C831F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700</w:t>
                  </w:r>
                </w:p>
              </w:tc>
            </w:tr>
            <w:tr w:rsidR="00CD0898" w:rsidRPr="00CD0898" w14:paraId="74698230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4D31E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422A9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1692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24B24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209</w:t>
                  </w:r>
                </w:p>
              </w:tc>
            </w:tr>
            <w:tr w:rsidR="00CD0898" w:rsidRPr="00CD0898" w14:paraId="3079528C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4562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AB96A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6641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7F2C6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824</w:t>
                  </w:r>
                </w:p>
              </w:tc>
            </w:tr>
            <w:tr w:rsidR="00CD0898" w:rsidRPr="00CD0898" w14:paraId="4988B79F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09CA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76E31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6982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B235E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11</w:t>
                  </w:r>
                </w:p>
              </w:tc>
            </w:tr>
            <w:tr w:rsidR="00CD0898" w:rsidRPr="00CD0898" w14:paraId="7CFB825D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92CF3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261E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561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91D72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250</w:t>
                  </w:r>
                </w:p>
              </w:tc>
            </w:tr>
            <w:tr w:rsidR="00CD0898" w:rsidRPr="00CD0898" w14:paraId="04BB9F79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535D3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ECC39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7477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D881E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3099</w:t>
                  </w:r>
                </w:p>
              </w:tc>
            </w:tr>
            <w:tr w:rsidR="00CD0898" w:rsidRPr="00CD0898" w14:paraId="37532C2A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19DC1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DC2D0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7157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78D44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3212</w:t>
                  </w:r>
                </w:p>
              </w:tc>
            </w:tr>
            <w:tr w:rsidR="00CD0898" w:rsidRPr="00CD0898" w14:paraId="7654E50C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22585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1999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6261F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6146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1660E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2648</w:t>
                  </w:r>
                </w:p>
              </w:tc>
            </w:tr>
            <w:tr w:rsidR="00CD0898" w:rsidRPr="00CD0898" w14:paraId="760D49B3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405E1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260C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3949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79C8B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3935</w:t>
                  </w:r>
                </w:p>
              </w:tc>
            </w:tr>
            <w:tr w:rsidR="00CD0898" w:rsidRPr="00CD0898" w14:paraId="26DBC4DD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1439F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C24AB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1412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7A257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3048</w:t>
                  </w:r>
                </w:p>
              </w:tc>
            </w:tr>
            <w:tr w:rsidR="00CD0898" w:rsidRPr="00CD0898" w14:paraId="6A66204C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C234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2688F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1533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202E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705</w:t>
                  </w:r>
                </w:p>
              </w:tc>
            </w:tr>
            <w:tr w:rsidR="00CD0898" w:rsidRPr="00CD0898" w14:paraId="5CA3F71A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1EF47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577AB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2636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CC525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502</w:t>
                  </w:r>
                </w:p>
              </w:tc>
            </w:tr>
            <w:tr w:rsidR="00CD0898" w:rsidRPr="00CD0898" w14:paraId="3030988A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B986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2A035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3450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8BD3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932</w:t>
                  </w:r>
                </w:p>
              </w:tc>
            </w:tr>
            <w:tr w:rsidR="00CD0898" w:rsidRPr="00CD0898" w14:paraId="6BFB477B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8B5A2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CD6FB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4042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00777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1143</w:t>
                  </w:r>
                </w:p>
              </w:tc>
            </w:tr>
            <w:tr w:rsidR="00CD0898" w:rsidRPr="00CD0898" w14:paraId="6F6196BD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21F37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43940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4526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535E7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963</w:t>
                  </w:r>
                </w:p>
              </w:tc>
            </w:tr>
            <w:tr w:rsidR="00CD0898" w:rsidRPr="00CD0898" w14:paraId="4874418F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0B6DE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40CD6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5486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D2B55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1142</w:t>
                  </w:r>
                </w:p>
              </w:tc>
            </w:tr>
            <w:tr w:rsidR="00CD0898" w:rsidRPr="00CD0898" w14:paraId="6BB20D3D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3DC8C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0B94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5055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D180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1606</w:t>
                  </w:r>
                </w:p>
              </w:tc>
            </w:tr>
            <w:tr w:rsidR="00CD0898" w:rsidRPr="00CD0898" w14:paraId="55666453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2D306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2009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65C60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4578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2CEDA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1882</w:t>
                  </w:r>
                </w:p>
              </w:tc>
            </w:tr>
            <w:tr w:rsidR="00CD0898" w:rsidRPr="00CD0898" w14:paraId="7B0D91CC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3A9E7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9F661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5968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DE3EC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2877</w:t>
                  </w:r>
                </w:p>
              </w:tc>
            </w:tr>
            <w:tr w:rsidR="00CD0898" w:rsidRPr="00CD0898" w14:paraId="66E6BFCB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F40BC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34F6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5454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AEE5A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1395</w:t>
                  </w:r>
                </w:p>
              </w:tc>
            </w:tr>
            <w:tr w:rsidR="00CD0898" w:rsidRPr="00CD0898" w14:paraId="45DD64D1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8CB6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0F80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5250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7FFC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1917</w:t>
                  </w:r>
                </w:p>
              </w:tc>
            </w:tr>
            <w:tr w:rsidR="00CD0898" w:rsidRPr="00CD0898" w14:paraId="6A01B53B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17DD1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4973C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3045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AD09B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1953</w:t>
                  </w:r>
                </w:p>
              </w:tc>
            </w:tr>
            <w:tr w:rsidR="00CD0898" w:rsidRPr="00CD0898" w14:paraId="63B66BDA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279F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ECBC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3908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C8E93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1435</w:t>
                  </w:r>
                </w:p>
              </w:tc>
            </w:tr>
            <w:tr w:rsidR="00CD0898" w:rsidRPr="00CD0898" w14:paraId="5985BA3A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46ADA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4132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4821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060FE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1449</w:t>
                  </w:r>
                </w:p>
              </w:tc>
            </w:tr>
            <w:tr w:rsidR="00CD0898" w:rsidRPr="00CD0898" w14:paraId="17D08118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6279F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AF5D2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5490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56B41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1712</w:t>
                  </w:r>
                </w:p>
              </w:tc>
            </w:tr>
            <w:tr w:rsidR="00CD0898" w:rsidRPr="00CD0898" w14:paraId="06E525CD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53F73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FEE6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5871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AA8A9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1836</w:t>
                  </w:r>
                </w:p>
              </w:tc>
            </w:tr>
            <w:tr w:rsidR="00CD0898" w:rsidRPr="00CD0898" w14:paraId="09F29AAC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7EB1D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lastRenderedPageBreak/>
                    <w:t>2018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36F82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6339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99C01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3326</w:t>
                  </w:r>
                </w:p>
              </w:tc>
            </w:tr>
            <w:tr w:rsidR="00CD0898" w:rsidRPr="00CD0898" w14:paraId="5436F4CE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476D3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F5B4A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8876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DE92A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3283</w:t>
                  </w:r>
                </w:p>
              </w:tc>
            </w:tr>
            <w:tr w:rsidR="00CD0898" w:rsidRPr="00CD0898" w14:paraId="555373DD" w14:textId="77777777" w:rsidTr="00CD0898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A74A7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2020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A0123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8657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A66B8" w14:textId="77777777" w:rsidR="00CD0898" w:rsidRPr="00CD0898" w:rsidRDefault="00CD0898" w:rsidP="00CD08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</w:pPr>
                  <w:r w:rsidRPr="00CD089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CA"/>
                    </w:rPr>
                    <w:t>2443</w:t>
                  </w:r>
                </w:p>
              </w:tc>
            </w:tr>
          </w:tbl>
          <w:p w14:paraId="7D90C903" w14:textId="77777777" w:rsidR="00CD0898" w:rsidRDefault="00CD0898" w:rsidP="003A16CF">
            <w:pPr>
              <w:spacing w:after="120"/>
            </w:pPr>
          </w:p>
          <w:p w14:paraId="367C6F3A" w14:textId="77777777" w:rsidR="003A16CF" w:rsidRDefault="003A16CF" w:rsidP="003A16CF">
            <w:pPr>
              <w:spacing w:after="120"/>
            </w:pPr>
            <w:r>
              <w:t xml:space="preserve">3) Judging from the error bars, I assume the sample size was </w:t>
            </w:r>
            <w:r w:rsidR="006F2C4A">
              <w:t xml:space="preserve">very </w:t>
            </w:r>
            <w:r>
              <w:t xml:space="preserve">small in 1993, 1995, </w:t>
            </w:r>
            <w:r w:rsidR="00707438">
              <w:t>and maybe also in 1994 and 1996?</w:t>
            </w:r>
          </w:p>
          <w:p w14:paraId="5EC3D6B7" w14:textId="77777777" w:rsidR="00273A4C" w:rsidRDefault="00273A4C" w:rsidP="00273A4C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Yes, see table above</w:t>
            </w:r>
          </w:p>
          <w:p w14:paraId="1A1111BC" w14:textId="77777777" w:rsidR="007D5561" w:rsidRDefault="00FE5B42" w:rsidP="000843C5">
            <w:r>
              <w:t xml:space="preserve">4) </w:t>
            </w:r>
            <w:r w:rsidR="007D5561">
              <w:t xml:space="preserve">Comparison to </w:t>
            </w:r>
            <w:proofErr w:type="spellStart"/>
            <w:r w:rsidR="007D5561">
              <w:t>nGSL</w:t>
            </w:r>
            <w:proofErr w:type="spellEnd"/>
            <w:r w:rsidR="00052DC3">
              <w:t xml:space="preserve"> (see slide 9 in my Norway presentation)</w:t>
            </w:r>
            <w:r w:rsidR="007D5561">
              <w:t>:</w:t>
            </w:r>
          </w:p>
          <w:p w14:paraId="1BE21850" w14:textId="77777777" w:rsidR="006B523D" w:rsidRDefault="00052DC3" w:rsidP="00CD0898">
            <w:pPr>
              <w:pStyle w:val="ListParagraph"/>
              <w:numPr>
                <w:ilvl w:val="0"/>
                <w:numId w:val="2"/>
              </w:numPr>
              <w:spacing w:after="120"/>
            </w:pPr>
            <w:proofErr w:type="spellStart"/>
            <w:proofErr w:type="gramStart"/>
            <w:r>
              <w:t>sGSL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nGSL</w:t>
            </w:r>
            <w:proofErr w:type="spellEnd"/>
            <w:r>
              <w:t xml:space="preserve"> show same general pattern of declining CW from 1991 to 1997 then increasing CW until </w:t>
            </w:r>
            <w:r w:rsidR="006B523D">
              <w:t xml:space="preserve">2004 in </w:t>
            </w:r>
            <w:proofErr w:type="spellStart"/>
            <w:r w:rsidR="006B523D">
              <w:t>sGSL</w:t>
            </w:r>
            <w:proofErr w:type="spellEnd"/>
            <w:r w:rsidR="006B523D">
              <w:t xml:space="preserve"> and </w:t>
            </w:r>
            <w:r w:rsidR="000843C5">
              <w:t>2007</w:t>
            </w:r>
            <w:r w:rsidR="006B523D">
              <w:t xml:space="preserve"> in </w:t>
            </w:r>
            <w:proofErr w:type="spellStart"/>
            <w:r w:rsidR="006B523D">
              <w:t>n</w:t>
            </w:r>
            <w:r w:rsidR="007D5561">
              <w:t>GSL</w:t>
            </w:r>
            <w:proofErr w:type="spellEnd"/>
            <w:r w:rsidR="006B523D">
              <w:t>;</w:t>
            </w:r>
            <w:r w:rsidR="000843C5">
              <w:t xml:space="preserve"> </w:t>
            </w:r>
            <w:r w:rsidR="006B523D">
              <w:t xml:space="preserve">CW in </w:t>
            </w:r>
            <w:proofErr w:type="spellStart"/>
            <w:r w:rsidR="006B523D">
              <w:t>sGSL</w:t>
            </w:r>
            <w:proofErr w:type="spellEnd"/>
            <w:r w:rsidR="006B523D">
              <w:t xml:space="preserve"> declines from 2004 to 2007</w:t>
            </w:r>
            <w:r w:rsidR="000843C5">
              <w:t>;</w:t>
            </w:r>
          </w:p>
          <w:p w14:paraId="4BCB85AF" w14:textId="77777777" w:rsidR="006B523D" w:rsidRDefault="000843C5" w:rsidP="00052DC3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 xml:space="preserve">CW in </w:t>
            </w:r>
            <w:proofErr w:type="spellStart"/>
            <w:r>
              <w:t>sGSL</w:t>
            </w:r>
            <w:proofErr w:type="spellEnd"/>
            <w:r>
              <w:t xml:space="preserve"> and </w:t>
            </w:r>
            <w:proofErr w:type="spellStart"/>
            <w:r>
              <w:t>nGSL</w:t>
            </w:r>
            <w:proofErr w:type="spellEnd"/>
            <w:r>
              <w:t xml:space="preserve"> is stable from 2007</w:t>
            </w:r>
            <w:r w:rsidR="006B523D">
              <w:t xml:space="preserve"> to 2015</w:t>
            </w:r>
            <w:r>
              <w:t xml:space="preserve">, after which it declines in </w:t>
            </w:r>
            <w:proofErr w:type="spellStart"/>
            <w:r>
              <w:t>sGSL</w:t>
            </w:r>
            <w:proofErr w:type="spellEnd"/>
            <w:r>
              <w:t xml:space="preserve"> but increases in </w:t>
            </w:r>
            <w:proofErr w:type="spellStart"/>
            <w:r>
              <w:t>nGSL</w:t>
            </w:r>
            <w:proofErr w:type="spellEnd"/>
            <w:r>
              <w:t xml:space="preserve"> </w:t>
            </w:r>
            <w:r w:rsidR="00B57D32">
              <w:t>to a record high in 2017-2018 and decreases in 2019 (2020 data pending)</w:t>
            </w:r>
          </w:p>
          <w:p w14:paraId="59D4757F" w14:textId="77777777" w:rsidR="007D5561" w:rsidRDefault="000843C5" w:rsidP="00036E97">
            <w:pPr>
              <w:pStyle w:val="ListParagraph"/>
              <w:numPr>
                <w:ilvl w:val="0"/>
                <w:numId w:val="2"/>
              </w:numPr>
              <w:spacing w:after="120"/>
            </w:pPr>
            <w:proofErr w:type="gramStart"/>
            <w:r>
              <w:t>f</w:t>
            </w:r>
            <w:r w:rsidR="007D5561">
              <w:t>emales</w:t>
            </w:r>
            <w:proofErr w:type="gramEnd"/>
            <w:r w:rsidR="007D5561">
              <w:t xml:space="preserve"> </w:t>
            </w:r>
            <w:r w:rsidR="002F0226">
              <w:t xml:space="preserve">in </w:t>
            </w:r>
            <w:proofErr w:type="spellStart"/>
            <w:r w:rsidR="002F0226">
              <w:t>sGSL</w:t>
            </w:r>
            <w:proofErr w:type="spellEnd"/>
            <w:r w:rsidR="002F0226">
              <w:t xml:space="preserve"> </w:t>
            </w:r>
            <w:r>
              <w:t xml:space="preserve">about </w:t>
            </w:r>
            <w:r w:rsidR="007D5561">
              <w:t>5-10 mm larger</w:t>
            </w:r>
            <w:r>
              <w:t xml:space="preserve"> by year</w:t>
            </w:r>
            <w:r w:rsidR="007D5561">
              <w:t xml:space="preserve"> than</w:t>
            </w:r>
            <w:r w:rsidR="002F0226">
              <w:t xml:space="preserve"> those in</w:t>
            </w:r>
            <w:r w:rsidR="007D5561">
              <w:t xml:space="preserve"> </w:t>
            </w:r>
            <w:proofErr w:type="spellStart"/>
            <w:r w:rsidR="007D5561">
              <w:t>nGSL</w:t>
            </w:r>
            <w:proofErr w:type="spellEnd"/>
            <w:r>
              <w:t xml:space="preserve"> from 1991 to 2006</w:t>
            </w:r>
            <w:r w:rsidR="002F0226">
              <w:t xml:space="preserve">, about </w:t>
            </w:r>
            <w:r>
              <w:t xml:space="preserve">1-2 mm larger by year from 2007 to 2015, </w:t>
            </w:r>
            <w:r w:rsidR="00036E97">
              <w:t>and about 3-12 mm smaller from 2016-2019.</w:t>
            </w:r>
          </w:p>
        </w:tc>
      </w:tr>
      <w:tr w:rsidR="00C86DE0" w14:paraId="0BAE70CB" w14:textId="77777777" w:rsidTr="00C86DE0">
        <w:tc>
          <w:tcPr>
            <w:tcW w:w="4675" w:type="dxa"/>
          </w:tcPr>
          <w:p w14:paraId="5F85F52C" w14:textId="77777777" w:rsidR="006F2C4A" w:rsidRDefault="006F2C4A"/>
          <w:p w14:paraId="311B6FE7" w14:textId="77777777" w:rsidR="00C86DE0" w:rsidRDefault="00C86DE0">
            <w:r>
              <w:t>Fig. 2</w:t>
            </w:r>
          </w:p>
          <w:p w14:paraId="04A0BF5F" w14:textId="77777777" w:rsidR="00C86DE0" w:rsidRDefault="00C86DE0">
            <w:r w:rsidRPr="005B145F">
              <w:rPr>
                <w:noProof/>
              </w:rPr>
              <w:drawing>
                <wp:inline distT="0" distB="0" distL="0" distR="0" wp14:anchorId="5561F0BD" wp14:editId="295D65DE">
                  <wp:extent cx="3902400" cy="3240000"/>
                  <wp:effectExtent l="0" t="0" r="317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4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A59CF" w14:textId="77777777" w:rsidR="00C86DE0" w:rsidRDefault="00C86DE0"/>
        </w:tc>
        <w:tc>
          <w:tcPr>
            <w:tcW w:w="4675" w:type="dxa"/>
          </w:tcPr>
          <w:p w14:paraId="44B419D0" w14:textId="77777777" w:rsidR="00C86DE0" w:rsidRDefault="00C86DE0"/>
          <w:p w14:paraId="4C4F2291" w14:textId="77777777" w:rsidR="006F2C4A" w:rsidRDefault="006F2C4A" w:rsidP="00B97757">
            <w:pPr>
              <w:spacing w:after="120"/>
            </w:pPr>
            <w:r>
              <w:t>1) These a</w:t>
            </w:r>
            <w:r w:rsidR="00B97757">
              <w:t>re only new shell females, correct</w:t>
            </w:r>
            <w:r>
              <w:t>?</w:t>
            </w:r>
          </w:p>
          <w:p w14:paraId="12EE04FF" w14:textId="77777777" w:rsidR="00273A4C" w:rsidRDefault="00273A4C" w:rsidP="00273A4C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Yes, these analyses are with new-shelled only.</w:t>
            </w:r>
          </w:p>
          <w:p w14:paraId="504268D4" w14:textId="77777777" w:rsidR="006F2C4A" w:rsidRDefault="006F2C4A" w:rsidP="00B97757">
            <w:pPr>
              <w:spacing w:after="120"/>
            </w:pPr>
            <w:r>
              <w:t xml:space="preserve">2) The proportion mature by 1-mm size class is </w:t>
            </w:r>
            <w:r w:rsidRPr="00B97757">
              <w:rPr>
                <w:u w:val="single"/>
              </w:rPr>
              <w:t>observed</w:t>
            </w:r>
            <w:r>
              <w:t xml:space="preserve">, </w:t>
            </w:r>
            <w:r w:rsidR="00B97757">
              <w:t>correct?</w:t>
            </w:r>
          </w:p>
          <w:p w14:paraId="1EBC5DB7" w14:textId="77777777" w:rsidR="00273A4C" w:rsidRDefault="00273A4C" w:rsidP="00B97757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In this particular graph it is a GAM smoothed curve, I have included the empirical values in another corresponding graph.</w:t>
            </w:r>
          </w:p>
          <w:p w14:paraId="3B640102" w14:textId="77777777" w:rsidR="00B97757" w:rsidRDefault="00B97757" w:rsidP="00B97757">
            <w:pPr>
              <w:spacing w:after="120"/>
            </w:pPr>
            <w:r>
              <w:t>3) Short white bars extending directly from the x-axis (in 1990, 1992 and 2020) indicate that no female in the corresponding size classes were found, correct?</w:t>
            </w:r>
          </w:p>
          <w:p w14:paraId="0687872A" w14:textId="77777777" w:rsidR="00273A4C" w:rsidRDefault="00273A4C" w:rsidP="00273A4C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They are white because the prediction error of the GAM was deemed too high.</w:t>
            </w:r>
          </w:p>
          <w:p w14:paraId="18591D25" w14:textId="77777777" w:rsidR="00B97757" w:rsidRDefault="00B97757" w:rsidP="00B97757">
            <w:pPr>
              <w:spacing w:after="120"/>
            </w:pPr>
            <w:r>
              <w:t xml:space="preserve">4) In 1995, </w:t>
            </w:r>
            <w:r w:rsidR="00F62844">
              <w:t>the only mature females appear to be &gt;70 mm CW. How is it that mean CW for mature females in 1995 is only about 54 mm CW (see Fig. 1 above)?</w:t>
            </w:r>
          </w:p>
          <w:p w14:paraId="2DBFC17A" w14:textId="77777777" w:rsidR="00273A4C" w:rsidRDefault="00273A4C" w:rsidP="00273A4C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1995 sample size is way too small for inference</w:t>
            </w:r>
          </w:p>
          <w:p w14:paraId="306E1F2B" w14:textId="77777777" w:rsidR="00B97757" w:rsidRDefault="00B97757" w:rsidP="00B97757">
            <w:pPr>
              <w:spacing w:after="120"/>
            </w:pPr>
          </w:p>
        </w:tc>
      </w:tr>
    </w:tbl>
    <w:p w14:paraId="3E29C9C1" w14:textId="77777777" w:rsidR="00C86DE0" w:rsidRDefault="00C86DE0"/>
    <w:p w14:paraId="642DB8D1" w14:textId="77777777" w:rsidR="00C86DE0" w:rsidRDefault="00C86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5"/>
        <w:gridCol w:w="4581"/>
      </w:tblGrid>
      <w:tr w:rsidR="00C86DE0" w14:paraId="025DB9C0" w14:textId="77777777" w:rsidTr="00C86DE0">
        <w:tc>
          <w:tcPr>
            <w:tcW w:w="4675" w:type="dxa"/>
          </w:tcPr>
          <w:p w14:paraId="4918239C" w14:textId="77777777" w:rsidR="00C86DE0" w:rsidRDefault="00C86DE0">
            <w:r>
              <w:t>Fig. 3</w:t>
            </w:r>
          </w:p>
          <w:p w14:paraId="3E1AF0E9" w14:textId="77777777" w:rsidR="00C86DE0" w:rsidRDefault="00C86DE0">
            <w:r w:rsidRPr="005B145F">
              <w:rPr>
                <w:noProof/>
              </w:rPr>
              <w:drawing>
                <wp:inline distT="0" distB="0" distL="0" distR="0" wp14:anchorId="7F19BC01" wp14:editId="194E61B6">
                  <wp:extent cx="3362400" cy="3240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4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9014C" w14:textId="77777777" w:rsidR="00C86DE0" w:rsidRDefault="00C86DE0"/>
        </w:tc>
        <w:tc>
          <w:tcPr>
            <w:tcW w:w="4675" w:type="dxa"/>
          </w:tcPr>
          <w:p w14:paraId="4AD3949B" w14:textId="77777777" w:rsidR="00C86DE0" w:rsidRDefault="00C86DE0"/>
          <w:p w14:paraId="31F8C98A" w14:textId="77777777" w:rsidR="00BF3F5C" w:rsidRDefault="00BF3F5C" w:rsidP="00935FE2">
            <w:pPr>
              <w:spacing w:after="120"/>
            </w:pPr>
            <w:r w:rsidRPr="00BF3F5C">
              <w:t>1) These are only new shell females, correct?</w:t>
            </w:r>
          </w:p>
          <w:p w14:paraId="305874B2" w14:textId="77777777" w:rsidR="00273A4C" w:rsidRPr="00BF3F5C" w:rsidRDefault="00273A4C" w:rsidP="00273A4C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New-shelled, yes</w:t>
            </w:r>
          </w:p>
          <w:p w14:paraId="4C81A808" w14:textId="77777777" w:rsidR="00BF3F5C" w:rsidRDefault="00BF3F5C" w:rsidP="00935FE2">
            <w:pPr>
              <w:spacing w:after="120"/>
            </w:pPr>
            <w:r>
              <w:t>2) These maturity ogives are modeled from data in Fig. 2 above use a GAM, correct?</w:t>
            </w:r>
          </w:p>
          <w:p w14:paraId="25180CCE" w14:textId="77777777" w:rsidR="00273A4C" w:rsidRDefault="00273A4C" w:rsidP="00273A4C">
            <w:pPr>
              <w:pStyle w:val="ListParagraph"/>
              <w:numPr>
                <w:ilvl w:val="0"/>
                <w:numId w:val="5"/>
              </w:numPr>
              <w:spacing w:after="120"/>
            </w:pPr>
            <w:proofErr w:type="gramStart"/>
            <w:r>
              <w:t>yes</w:t>
            </w:r>
            <w:proofErr w:type="gramEnd"/>
          </w:p>
          <w:p w14:paraId="26B002C5" w14:textId="77777777" w:rsidR="00BF3F5C" w:rsidRDefault="00BF3F5C" w:rsidP="00935FE2">
            <w:pPr>
              <w:spacing w:after="120"/>
            </w:pPr>
            <w:r>
              <w:t xml:space="preserve">3) Two </w:t>
            </w:r>
            <w:r w:rsidR="00935FE2">
              <w:t xml:space="preserve">annual </w:t>
            </w:r>
            <w:r>
              <w:t xml:space="preserve">ogives trend down past 70 or 80 mm CW, with one going to 0 at 88 mm CW. </w:t>
            </w:r>
            <w:r w:rsidR="00935FE2">
              <w:t>Were very large immature females (&gt;80 mm CW) actually found?</w:t>
            </w:r>
          </w:p>
          <w:p w14:paraId="4967016E" w14:textId="77777777" w:rsidR="00273A4C" w:rsidRDefault="00273A4C" w:rsidP="00273A4C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Probably 1995, which should be ignored.</w:t>
            </w:r>
          </w:p>
          <w:p w14:paraId="0FAEA5D7" w14:textId="77777777" w:rsidR="00447F15" w:rsidRDefault="00447F15" w:rsidP="00935FE2">
            <w:pPr>
              <w:spacing w:after="120"/>
            </w:pPr>
            <w:r>
              <w:t>4) Some annual maturity ogives suggest some occurrence of mature females at &lt;30 mm CW… I assume this is just a modeling quirk?</w:t>
            </w:r>
            <w:r w:rsidR="00273A4C">
              <w:t xml:space="preserve"> </w:t>
            </w:r>
          </w:p>
          <w:p w14:paraId="3A1CEA85" w14:textId="77777777" w:rsidR="00273A4C" w:rsidRDefault="00273A4C" w:rsidP="00273A4C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 xml:space="preserve">I’ll check how the maturity was determined for small </w:t>
            </w:r>
            <w:proofErr w:type="gramStart"/>
            <w:r>
              <w:t>sizes,</w:t>
            </w:r>
            <w:proofErr w:type="gramEnd"/>
            <w:r>
              <w:t xml:space="preserve"> they should all logically taper to zero.</w:t>
            </w:r>
          </w:p>
        </w:tc>
      </w:tr>
      <w:tr w:rsidR="00C86DE0" w14:paraId="1B8154BA" w14:textId="77777777" w:rsidTr="00C86DE0">
        <w:tc>
          <w:tcPr>
            <w:tcW w:w="4675" w:type="dxa"/>
          </w:tcPr>
          <w:p w14:paraId="60ABAE86" w14:textId="77777777" w:rsidR="00C86DE0" w:rsidRDefault="00C86DE0">
            <w:r>
              <w:t>Fig. 4</w:t>
            </w:r>
          </w:p>
          <w:p w14:paraId="3553383A" w14:textId="77777777" w:rsidR="00DE3059" w:rsidRDefault="00DE3059"/>
          <w:p w14:paraId="54A0E8FA" w14:textId="77777777" w:rsidR="00C86DE0" w:rsidRDefault="00C86DE0">
            <w:r w:rsidRPr="005B145F">
              <w:rPr>
                <w:noProof/>
              </w:rPr>
              <w:drawing>
                <wp:inline distT="0" distB="0" distL="0" distR="0" wp14:anchorId="6F073398" wp14:editId="02533C11">
                  <wp:extent cx="3949200" cy="324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2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6ABD7" w14:textId="77777777" w:rsidR="00C86DE0" w:rsidRDefault="00C86DE0"/>
        </w:tc>
        <w:tc>
          <w:tcPr>
            <w:tcW w:w="4675" w:type="dxa"/>
          </w:tcPr>
          <w:p w14:paraId="4CCB3BF5" w14:textId="77777777" w:rsidR="00C86DE0" w:rsidRDefault="00C86DE0"/>
          <w:p w14:paraId="2BC81294" w14:textId="77777777" w:rsidR="0045347D" w:rsidRDefault="0045347D" w:rsidP="0045347D">
            <w:pPr>
              <w:spacing w:after="120"/>
            </w:pPr>
            <w:r>
              <w:t>1) The anomalies here are based on the difference between the modeled annual maturity ogive and the average maturity ogive, correct?</w:t>
            </w:r>
          </w:p>
          <w:p w14:paraId="357D72CF" w14:textId="77777777" w:rsidR="00273A4C" w:rsidRDefault="00273A4C" w:rsidP="00273A4C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 xml:space="preserve">The scale for these calculations is on the </w:t>
            </w:r>
            <w:proofErr w:type="spellStart"/>
            <w:r>
              <w:t>logit</w:t>
            </w:r>
            <w:proofErr w:type="spellEnd"/>
            <w:r>
              <w:t>-scale, including the average.</w:t>
            </w:r>
          </w:p>
          <w:p w14:paraId="28AA4E23" w14:textId="77777777" w:rsidR="0045347D" w:rsidRDefault="0045347D" w:rsidP="0045347D">
            <w:pPr>
              <w:spacing w:after="120"/>
            </w:pPr>
            <w:r>
              <w:t>2) I can see how you could get positive anomalies in the range of 30-38 mm CW, but I don’t understand the negative anomalies over this size range as the average maturity ogive is at zero for these sizes.</w:t>
            </w:r>
            <w:r w:rsidR="00976B1A">
              <w:t xml:space="preserve"> Maybe the graph should be cut off at the size bin just below the size bin including the smallest </w:t>
            </w:r>
            <w:proofErr w:type="gramStart"/>
            <w:r w:rsidR="00976B1A">
              <w:t>ever recorded</w:t>
            </w:r>
            <w:proofErr w:type="gramEnd"/>
            <w:r w:rsidR="00976B1A">
              <w:t xml:space="preserve"> mature new shell female.</w:t>
            </w:r>
          </w:p>
          <w:p w14:paraId="28844D83" w14:textId="77777777" w:rsidR="0081325E" w:rsidRDefault="0081325E" w:rsidP="0081325E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 xml:space="preserve">The </w:t>
            </w:r>
            <w:proofErr w:type="gramStart"/>
            <w:r>
              <w:t>inferences for small sizes is</w:t>
            </w:r>
            <w:proofErr w:type="gramEnd"/>
            <w:r>
              <w:t xml:space="preserve"> uncertain, and I must check how maturity is determined for small sizes.</w:t>
            </w:r>
          </w:p>
          <w:p w14:paraId="769E684A" w14:textId="77777777" w:rsidR="0045347D" w:rsidRDefault="0045347D" w:rsidP="0045347D">
            <w:pPr>
              <w:spacing w:after="120"/>
            </w:pPr>
            <w:r>
              <w:t>3) Short white bars extending directly from the x-axis (in 1990, 1992 and 2020)</w:t>
            </w:r>
            <w:r w:rsidR="00BA3877">
              <w:t xml:space="preserve"> do not extend to the same size class as in Fig. 2.</w:t>
            </w:r>
            <w:r w:rsidR="0081325E">
              <w:t xml:space="preserve"> </w:t>
            </w:r>
          </w:p>
          <w:p w14:paraId="3613C696" w14:textId="77777777" w:rsidR="0081325E" w:rsidRDefault="0081325E" w:rsidP="0081325E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These are determined by prediction uncertainty,</w:t>
            </w:r>
          </w:p>
          <w:p w14:paraId="2FB62AF4" w14:textId="77777777" w:rsidR="00BA3877" w:rsidRDefault="00BA3877" w:rsidP="0045347D">
            <w:pPr>
              <w:spacing w:after="120"/>
            </w:pPr>
            <w:r>
              <w:t xml:space="preserve">4) For 1995, why is the whole column not in dark </w:t>
            </w:r>
            <w:r>
              <w:lastRenderedPageBreak/>
              <w:t>blue shades as Fig. 2 shows only the very largest females were mature?</w:t>
            </w:r>
            <w:r w:rsidR="0081325E">
              <w:t xml:space="preserve"> </w:t>
            </w:r>
          </w:p>
          <w:p w14:paraId="7A9AB0E6" w14:textId="77777777" w:rsidR="0081325E" w:rsidRDefault="0081325E" w:rsidP="0081325E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 xml:space="preserve">The prediction for 1995 was too high, thus it was blanked out. </w:t>
            </w:r>
          </w:p>
        </w:tc>
      </w:tr>
    </w:tbl>
    <w:p w14:paraId="4B9C3012" w14:textId="77777777" w:rsidR="00C86DE0" w:rsidRDefault="00C86DE0" w:rsidP="00C86DE0"/>
    <w:p w14:paraId="41ED0DD6" w14:textId="77777777" w:rsidR="0081325E" w:rsidRDefault="0081325E" w:rsidP="00C86DE0">
      <w:bookmarkStart w:id="0" w:name="_GoBack"/>
      <w:bookmarkEnd w:id="0"/>
    </w:p>
    <w:sectPr w:rsidR="0081325E" w:rsidSect="006B52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D2583"/>
    <w:multiLevelType w:val="hybridMultilevel"/>
    <w:tmpl w:val="56B4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351EC"/>
    <w:multiLevelType w:val="hybridMultilevel"/>
    <w:tmpl w:val="084A5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C47CF4"/>
    <w:multiLevelType w:val="hybridMultilevel"/>
    <w:tmpl w:val="E2C06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231DB"/>
    <w:multiLevelType w:val="hybridMultilevel"/>
    <w:tmpl w:val="02A2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1377D"/>
    <w:multiLevelType w:val="hybridMultilevel"/>
    <w:tmpl w:val="0EA66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96"/>
    <w:rsid w:val="00036E97"/>
    <w:rsid w:val="00052DC3"/>
    <w:rsid w:val="000843C5"/>
    <w:rsid w:val="00273A4C"/>
    <w:rsid w:val="002F0226"/>
    <w:rsid w:val="003A16CF"/>
    <w:rsid w:val="00447F15"/>
    <w:rsid w:val="0045347D"/>
    <w:rsid w:val="00471F65"/>
    <w:rsid w:val="005B145F"/>
    <w:rsid w:val="00687696"/>
    <w:rsid w:val="006B523D"/>
    <w:rsid w:val="006F2C4A"/>
    <w:rsid w:val="00707438"/>
    <w:rsid w:val="007820DB"/>
    <w:rsid w:val="007C58A2"/>
    <w:rsid w:val="007D5561"/>
    <w:rsid w:val="007F5A25"/>
    <w:rsid w:val="0081325E"/>
    <w:rsid w:val="008A782F"/>
    <w:rsid w:val="00935FE2"/>
    <w:rsid w:val="00976B1A"/>
    <w:rsid w:val="009C470C"/>
    <w:rsid w:val="00B57D32"/>
    <w:rsid w:val="00B97757"/>
    <w:rsid w:val="00BA3877"/>
    <w:rsid w:val="00BD4207"/>
    <w:rsid w:val="00BF3F5C"/>
    <w:rsid w:val="00C86DE0"/>
    <w:rsid w:val="00CD0898"/>
    <w:rsid w:val="00D17818"/>
    <w:rsid w:val="00DE3059"/>
    <w:rsid w:val="00EF7706"/>
    <w:rsid w:val="00F62844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594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89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89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692</Words>
  <Characters>3946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Sainte-Marie, Bernard</dc:creator>
  <cp:keywords/>
  <dc:description/>
  <cp:lastModifiedBy>Crustacean Crusty</cp:lastModifiedBy>
  <cp:revision>21</cp:revision>
  <dcterms:created xsi:type="dcterms:W3CDTF">2020-11-04T12:27:00Z</dcterms:created>
  <dcterms:modified xsi:type="dcterms:W3CDTF">2020-11-06T19:25:00Z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2020-11-04T12:54:41Z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044e4f49-d2bd-4d68-b9b3-0000c76fd651</vt:lpwstr>
  </property>
</Properties>
</file>