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48282" w14:textId="77777777" w:rsidR="00F93968" w:rsidRPr="00220C0E" w:rsidRDefault="00F93968" w:rsidP="00D01331">
      <w:pPr>
        <w:jc w:val="center"/>
        <w:rPr>
          <w:rFonts w:cstheme="minorHAnsi"/>
          <w:b/>
          <w:sz w:val="24"/>
          <w:szCs w:val="24"/>
          <w:u w:val="single"/>
          <w:lang w:val="fr-CA"/>
        </w:rPr>
      </w:pPr>
      <w:r w:rsidRPr="00220C0E">
        <w:rPr>
          <w:rFonts w:cstheme="minorHAnsi"/>
          <w:b/>
          <w:sz w:val="24"/>
          <w:szCs w:val="24"/>
          <w:u w:val="single"/>
          <w:lang w:val="fr-CA"/>
        </w:rPr>
        <w:t>Rapport de terrain du projet de bio-collecteurs - 2020</w:t>
      </w:r>
    </w:p>
    <w:p w14:paraId="6CFF6B06" w14:textId="77777777" w:rsidR="00F93968" w:rsidRPr="00220C0E" w:rsidRDefault="00F93968" w:rsidP="007F1F2C">
      <w:pPr>
        <w:rPr>
          <w:rFonts w:cstheme="minorHAnsi"/>
          <w:sz w:val="24"/>
          <w:szCs w:val="24"/>
          <w:lang w:val="fr-CA"/>
        </w:rPr>
      </w:pPr>
      <w:r w:rsidRPr="00220C0E">
        <w:rPr>
          <w:rFonts w:cstheme="minorHAnsi"/>
          <w:sz w:val="24"/>
          <w:szCs w:val="24"/>
          <w:lang w:val="fr-CA"/>
        </w:rPr>
        <w:t>Préparé par : Maxime Ouellet</w:t>
      </w:r>
    </w:p>
    <w:p w14:paraId="1DB9AF0E" w14:textId="15A4402A" w:rsidR="00F93968" w:rsidRDefault="00F93968" w:rsidP="007F1F2C">
      <w:pPr>
        <w:rPr>
          <w:rFonts w:cstheme="minorHAnsi"/>
          <w:sz w:val="24"/>
          <w:szCs w:val="24"/>
          <w:lang w:val="fr-CA"/>
        </w:rPr>
      </w:pPr>
      <w:r w:rsidRPr="00220C0E">
        <w:rPr>
          <w:rFonts w:cstheme="minorHAnsi"/>
          <w:sz w:val="24"/>
          <w:szCs w:val="24"/>
          <w:lang w:val="fr-CA"/>
        </w:rPr>
        <w:t>le 20 octobre 2020</w:t>
      </w:r>
    </w:p>
    <w:p w14:paraId="593E3DAF" w14:textId="77777777" w:rsidR="008772CA" w:rsidRPr="00220C0E" w:rsidRDefault="008772CA" w:rsidP="007F1F2C">
      <w:pPr>
        <w:rPr>
          <w:rFonts w:cstheme="minorHAnsi"/>
          <w:sz w:val="24"/>
          <w:szCs w:val="24"/>
          <w:lang w:val="fr-CA"/>
        </w:rPr>
      </w:pPr>
    </w:p>
    <w:p w14:paraId="777D78E2" w14:textId="77777777" w:rsidR="00F93968" w:rsidRPr="008772CA" w:rsidRDefault="00F93968">
      <w:pPr>
        <w:rPr>
          <w:rFonts w:cstheme="minorHAnsi"/>
          <w:b/>
          <w:sz w:val="24"/>
          <w:szCs w:val="24"/>
          <w:lang w:val="fr-CA"/>
        </w:rPr>
      </w:pPr>
      <w:r w:rsidRPr="008772CA">
        <w:rPr>
          <w:rFonts w:cstheme="minorHAnsi"/>
          <w:b/>
          <w:sz w:val="24"/>
          <w:szCs w:val="24"/>
          <w:lang w:val="fr-CA"/>
        </w:rPr>
        <w:t>Introduction et méthodes:</w:t>
      </w:r>
    </w:p>
    <w:p w14:paraId="7CBA7DF2" w14:textId="079581EA" w:rsidR="00F93968" w:rsidRPr="00220C0E" w:rsidRDefault="00F93968">
      <w:pPr>
        <w:rPr>
          <w:rFonts w:cstheme="minorHAnsi"/>
          <w:sz w:val="24"/>
          <w:szCs w:val="24"/>
          <w:lang w:val="fr-CA"/>
        </w:rPr>
      </w:pPr>
      <w:r w:rsidRPr="00220C0E">
        <w:rPr>
          <w:rFonts w:cstheme="minorHAnsi"/>
          <w:sz w:val="24"/>
          <w:szCs w:val="24"/>
          <w:lang w:val="fr-CA"/>
        </w:rPr>
        <w:t xml:space="preserve">Le projet de bio-collecteurs est un projet collaboratif entre Pêches et Océans Canada, Prince Edward Island </w:t>
      </w:r>
      <w:proofErr w:type="spellStart"/>
      <w:r w:rsidRPr="00220C0E">
        <w:rPr>
          <w:rFonts w:cstheme="minorHAnsi"/>
          <w:sz w:val="24"/>
          <w:szCs w:val="24"/>
          <w:lang w:val="fr-CA"/>
        </w:rPr>
        <w:t>Fishermen’s</w:t>
      </w:r>
      <w:proofErr w:type="spellEnd"/>
      <w:r w:rsidRPr="00220C0E">
        <w:rPr>
          <w:rFonts w:cstheme="minorHAnsi"/>
          <w:sz w:val="24"/>
          <w:szCs w:val="24"/>
          <w:lang w:val="fr-CA"/>
        </w:rPr>
        <w:t xml:space="preserve"> Association (PEIFA) et la province de l’</w:t>
      </w:r>
      <w:proofErr w:type="spellStart"/>
      <w:r w:rsidRPr="00220C0E">
        <w:rPr>
          <w:rFonts w:cstheme="minorHAnsi"/>
          <w:sz w:val="24"/>
          <w:szCs w:val="24"/>
          <w:lang w:val="fr-CA"/>
        </w:rPr>
        <w:t>Île-du-Prince-Edouard</w:t>
      </w:r>
      <w:proofErr w:type="spellEnd"/>
      <w:r w:rsidRPr="00220C0E">
        <w:rPr>
          <w:rFonts w:cstheme="minorHAnsi"/>
          <w:sz w:val="24"/>
          <w:szCs w:val="24"/>
          <w:lang w:val="fr-CA"/>
        </w:rPr>
        <w:t xml:space="preserve"> depuis 2008. Les bio-collecteurs sont mis à l’eau au début du mois de juillet par des pêcheurs commerciaux et le tout est coordonné par la province de l’</w:t>
      </w:r>
      <w:proofErr w:type="spellStart"/>
      <w:r w:rsidRPr="00220C0E">
        <w:rPr>
          <w:rFonts w:cstheme="minorHAnsi"/>
          <w:sz w:val="24"/>
          <w:szCs w:val="24"/>
          <w:lang w:val="fr-CA"/>
        </w:rPr>
        <w:t>Île-du-Prince-Edouard</w:t>
      </w:r>
      <w:proofErr w:type="spellEnd"/>
      <w:r w:rsidRPr="00220C0E">
        <w:rPr>
          <w:rFonts w:cstheme="minorHAnsi"/>
          <w:sz w:val="24"/>
          <w:szCs w:val="24"/>
          <w:lang w:val="fr-CA"/>
        </w:rPr>
        <w:t xml:space="preserve"> et la PEIFA. Les bio-collecteurs sont fabriqués à la base de grillage en fer du même type celui utilisé pour fabriquer les trappes à homard commerciales. Au fond de chacun de ceux-ci, on retrouve un grillage en plastique avec de petites maille afin collecter les petits spécimens d’invertébrés et de poissons. La dimension des bio-collecteurs est de 36’’X24’’X6’’. À chaque site, une sonde de température est attachée à l’un des collecteurs afin d’enregistrer des données de température de fond. Chaque sonde de température est initialisée afin de faire une lecture de température à chaque deux heures. La première lecture de chaque journée se fait à minuit. Les bio-collecteurs restent au fond de l’eau jusqu’au temps de l’échantillonnage. Pendant ce temps de mouillage, ils servent d’abris pour les larves de homard fraîchement déposées, de homards juvéniles, de crabes communs, de crabes araignées et différentes espèces de poissons.</w:t>
      </w:r>
    </w:p>
    <w:p w14:paraId="7D70C6B4" w14:textId="77777777" w:rsidR="00D129A2" w:rsidRPr="00220C0E" w:rsidRDefault="00F93968" w:rsidP="00FB29A8">
      <w:pPr>
        <w:rPr>
          <w:rFonts w:cstheme="minorHAnsi"/>
          <w:sz w:val="24"/>
          <w:szCs w:val="24"/>
          <w:lang w:val="fr-CA"/>
        </w:rPr>
      </w:pPr>
      <w:r w:rsidRPr="00220C0E">
        <w:rPr>
          <w:rFonts w:cstheme="minorHAnsi"/>
          <w:sz w:val="24"/>
          <w:szCs w:val="24"/>
          <w:lang w:val="fr-CA"/>
        </w:rPr>
        <w:t xml:space="preserve">L’échantillonnage des bio-collecteurs commence habituellement à la dernière semaine de septembre et s’étend jusqu’à la troisième semaine d’octobre. Les sites de Cap Egmont et de </w:t>
      </w:r>
      <w:proofErr w:type="spellStart"/>
      <w:r w:rsidRPr="00220C0E">
        <w:rPr>
          <w:rFonts w:cstheme="minorHAnsi"/>
          <w:sz w:val="24"/>
          <w:szCs w:val="24"/>
          <w:lang w:val="fr-CA"/>
        </w:rPr>
        <w:t>Skinners</w:t>
      </w:r>
      <w:proofErr w:type="spellEnd"/>
      <w:r w:rsidRPr="00220C0E">
        <w:rPr>
          <w:rFonts w:cstheme="minorHAnsi"/>
          <w:sz w:val="24"/>
          <w:szCs w:val="24"/>
          <w:lang w:val="fr-CA"/>
        </w:rPr>
        <w:t xml:space="preserve"> Ponds sont habituellement effectués en derniers car il faut attendre la fin de la pêche commerciale du homard dans la zone 25 avant de débuter l’échantillonnage.</w:t>
      </w:r>
    </w:p>
    <w:p w14:paraId="07B7ACCA" w14:textId="77777777" w:rsidR="00016A7C" w:rsidRPr="00220C0E" w:rsidRDefault="00016A7C" w:rsidP="00FB29A8">
      <w:pPr>
        <w:rPr>
          <w:rFonts w:cstheme="minorHAnsi"/>
          <w:sz w:val="24"/>
          <w:szCs w:val="24"/>
          <w:lang w:val="fr-CA"/>
        </w:rPr>
      </w:pPr>
    </w:p>
    <w:p w14:paraId="559886F1" w14:textId="77777777" w:rsidR="00016A7C" w:rsidRPr="00220C0E" w:rsidRDefault="00016A7C" w:rsidP="00FB29A8">
      <w:pPr>
        <w:rPr>
          <w:rFonts w:cstheme="minorHAnsi"/>
          <w:sz w:val="24"/>
          <w:szCs w:val="24"/>
          <w:lang w:val="fr-CA"/>
        </w:rPr>
      </w:pPr>
    </w:p>
    <w:p w14:paraId="0A7DFC29" w14:textId="77777777" w:rsidR="00016A7C" w:rsidRPr="00220C0E" w:rsidRDefault="00016A7C" w:rsidP="00FB29A8">
      <w:pPr>
        <w:rPr>
          <w:rFonts w:cstheme="minorHAnsi"/>
          <w:sz w:val="24"/>
          <w:szCs w:val="24"/>
          <w:lang w:val="fr-CA"/>
        </w:rPr>
      </w:pPr>
    </w:p>
    <w:p w14:paraId="7ED27B03" w14:textId="77777777" w:rsidR="00016A7C" w:rsidRPr="00220C0E" w:rsidRDefault="00016A7C" w:rsidP="00FB29A8">
      <w:pPr>
        <w:rPr>
          <w:rFonts w:cstheme="minorHAnsi"/>
          <w:sz w:val="24"/>
          <w:szCs w:val="24"/>
          <w:lang w:val="fr-CA"/>
        </w:rPr>
      </w:pPr>
    </w:p>
    <w:p w14:paraId="28E5429A" w14:textId="77777777" w:rsidR="00016A7C" w:rsidRPr="00220C0E" w:rsidRDefault="00016A7C" w:rsidP="00FB29A8">
      <w:pPr>
        <w:rPr>
          <w:rFonts w:cstheme="minorHAnsi"/>
          <w:sz w:val="24"/>
          <w:szCs w:val="24"/>
          <w:lang w:val="fr-CA"/>
        </w:rPr>
      </w:pPr>
    </w:p>
    <w:p w14:paraId="64EAC0AD" w14:textId="77777777" w:rsidR="00016A7C" w:rsidRPr="00220C0E" w:rsidRDefault="00016A7C" w:rsidP="00FB29A8">
      <w:pPr>
        <w:rPr>
          <w:rFonts w:cstheme="minorHAnsi"/>
          <w:sz w:val="24"/>
          <w:szCs w:val="24"/>
          <w:lang w:val="fr-CA"/>
        </w:rPr>
      </w:pPr>
    </w:p>
    <w:p w14:paraId="09C8308A" w14:textId="77777777" w:rsidR="00016A7C" w:rsidRPr="00220C0E" w:rsidRDefault="00016A7C" w:rsidP="00FB29A8">
      <w:pPr>
        <w:rPr>
          <w:rFonts w:cstheme="minorHAnsi"/>
          <w:sz w:val="24"/>
          <w:szCs w:val="24"/>
          <w:lang w:val="fr-CA"/>
        </w:rPr>
      </w:pPr>
    </w:p>
    <w:p w14:paraId="33A166D8" w14:textId="77777777" w:rsidR="00016A7C" w:rsidRPr="00220C0E" w:rsidRDefault="00016A7C" w:rsidP="00FB29A8">
      <w:pPr>
        <w:rPr>
          <w:rFonts w:cstheme="minorHAnsi"/>
          <w:sz w:val="24"/>
          <w:szCs w:val="24"/>
          <w:lang w:val="fr-CA"/>
        </w:rPr>
      </w:pPr>
    </w:p>
    <w:p w14:paraId="7E1F07E2" w14:textId="77777777" w:rsidR="00016A7C" w:rsidRPr="00220C0E" w:rsidRDefault="00016A7C" w:rsidP="00FB29A8">
      <w:pPr>
        <w:rPr>
          <w:rFonts w:cstheme="minorHAnsi"/>
          <w:sz w:val="24"/>
          <w:szCs w:val="24"/>
          <w:lang w:val="fr-CA"/>
        </w:rPr>
      </w:pPr>
    </w:p>
    <w:p w14:paraId="787BC52A" w14:textId="37C7BFEA" w:rsidR="00F93968" w:rsidRPr="00220C0E" w:rsidRDefault="00F93968" w:rsidP="00FB29A8">
      <w:pPr>
        <w:rPr>
          <w:rFonts w:cstheme="minorHAnsi"/>
          <w:sz w:val="24"/>
          <w:szCs w:val="24"/>
          <w:lang w:val="fr-CA"/>
        </w:rPr>
      </w:pPr>
      <w:r w:rsidRPr="00220C0E">
        <w:rPr>
          <w:rFonts w:cstheme="minorHAnsi"/>
          <w:sz w:val="24"/>
          <w:szCs w:val="24"/>
          <w:lang w:val="fr-CA"/>
        </w:rPr>
        <w:lastRenderedPageBreak/>
        <w:t xml:space="preserve">Chaque année, huit sites de collecteurs sont échantillonnés : </w:t>
      </w:r>
      <w:proofErr w:type="spellStart"/>
      <w:r w:rsidRPr="00220C0E">
        <w:rPr>
          <w:rFonts w:cstheme="minorHAnsi"/>
          <w:sz w:val="24"/>
          <w:szCs w:val="24"/>
          <w:lang w:val="fr-CA"/>
        </w:rPr>
        <w:t>Alberton</w:t>
      </w:r>
      <w:proofErr w:type="spellEnd"/>
      <w:r w:rsidRPr="00220C0E">
        <w:rPr>
          <w:rFonts w:cstheme="minorHAnsi"/>
          <w:sz w:val="24"/>
          <w:szCs w:val="24"/>
          <w:lang w:val="fr-CA"/>
        </w:rPr>
        <w:t xml:space="preserve">, PEI, Beach Point, PEI, Cap Egmont PEI, </w:t>
      </w:r>
      <w:proofErr w:type="spellStart"/>
      <w:r w:rsidRPr="00220C0E">
        <w:rPr>
          <w:rFonts w:cstheme="minorHAnsi"/>
          <w:sz w:val="24"/>
          <w:szCs w:val="24"/>
          <w:lang w:val="fr-CA"/>
        </w:rPr>
        <w:t>Covehead</w:t>
      </w:r>
      <w:proofErr w:type="spellEnd"/>
      <w:r w:rsidRPr="00220C0E">
        <w:rPr>
          <w:rFonts w:cstheme="minorHAnsi"/>
          <w:sz w:val="24"/>
          <w:szCs w:val="24"/>
          <w:lang w:val="fr-CA"/>
        </w:rPr>
        <w:t xml:space="preserve"> PEI, Fortune PEI (9 et 21 mètres), </w:t>
      </w:r>
      <w:proofErr w:type="spellStart"/>
      <w:r w:rsidRPr="00220C0E">
        <w:rPr>
          <w:rFonts w:cstheme="minorHAnsi"/>
          <w:sz w:val="24"/>
          <w:szCs w:val="24"/>
          <w:lang w:val="fr-CA"/>
        </w:rPr>
        <w:t>Nine</w:t>
      </w:r>
      <w:proofErr w:type="spellEnd"/>
      <w:r w:rsidRPr="00220C0E">
        <w:rPr>
          <w:rFonts w:cstheme="minorHAnsi"/>
          <w:sz w:val="24"/>
          <w:szCs w:val="24"/>
          <w:lang w:val="fr-CA"/>
        </w:rPr>
        <w:t xml:space="preserve"> Miles Creek PEI</w:t>
      </w:r>
      <w:r w:rsidR="0023331E" w:rsidRPr="00220C0E">
        <w:rPr>
          <w:rFonts w:cstheme="minorHAnsi"/>
          <w:sz w:val="24"/>
          <w:szCs w:val="24"/>
          <w:lang w:val="fr-CA"/>
        </w:rPr>
        <w:t xml:space="preserve"> </w:t>
      </w:r>
      <w:r w:rsidR="0023331E" w:rsidRPr="001A1A2B">
        <w:rPr>
          <w:rFonts w:cstheme="minorHAnsi"/>
          <w:sz w:val="24"/>
          <w:szCs w:val="24"/>
          <w:lang w:val="fr-CA"/>
        </w:rPr>
        <w:t xml:space="preserve">(8 et </w:t>
      </w:r>
      <w:r w:rsidR="001A1A2B" w:rsidRPr="001A1A2B">
        <w:rPr>
          <w:rFonts w:cstheme="minorHAnsi"/>
          <w:sz w:val="24"/>
          <w:szCs w:val="24"/>
          <w:lang w:val="fr-CA"/>
        </w:rPr>
        <w:t xml:space="preserve">13 </w:t>
      </w:r>
      <w:r w:rsidR="0023331E" w:rsidRPr="001A1A2B">
        <w:rPr>
          <w:rFonts w:cstheme="minorHAnsi"/>
          <w:sz w:val="24"/>
          <w:szCs w:val="24"/>
          <w:lang w:val="fr-CA"/>
        </w:rPr>
        <w:t>mètres)</w:t>
      </w:r>
      <w:r w:rsidRPr="001A1A2B">
        <w:rPr>
          <w:rFonts w:cstheme="minorHAnsi"/>
          <w:sz w:val="24"/>
          <w:szCs w:val="24"/>
          <w:lang w:val="fr-CA"/>
        </w:rPr>
        <w:t>,</w:t>
      </w:r>
      <w:r w:rsidRPr="00220C0E">
        <w:rPr>
          <w:rFonts w:cstheme="minorHAnsi"/>
          <w:sz w:val="24"/>
          <w:szCs w:val="24"/>
          <w:lang w:val="fr-CA"/>
        </w:rPr>
        <w:t xml:space="preserve"> </w:t>
      </w:r>
      <w:proofErr w:type="spellStart"/>
      <w:r w:rsidRPr="00220C0E">
        <w:rPr>
          <w:rFonts w:cstheme="minorHAnsi"/>
          <w:sz w:val="24"/>
          <w:szCs w:val="24"/>
          <w:lang w:val="fr-CA"/>
        </w:rPr>
        <w:t>Skinners</w:t>
      </w:r>
      <w:proofErr w:type="spellEnd"/>
      <w:r w:rsidRPr="00220C0E">
        <w:rPr>
          <w:rFonts w:cstheme="minorHAnsi"/>
          <w:sz w:val="24"/>
          <w:szCs w:val="24"/>
          <w:lang w:val="fr-CA"/>
        </w:rPr>
        <w:t xml:space="preserve"> Pond PEI et Wallace NS. </w:t>
      </w:r>
      <w:r w:rsidRPr="00220C0E">
        <w:rPr>
          <w:rFonts w:cstheme="minorHAnsi"/>
          <w:noProof/>
          <w:sz w:val="24"/>
          <w:szCs w:val="24"/>
        </w:rPr>
        <w:drawing>
          <wp:inline distT="0" distB="0" distL="0" distR="0" wp14:anchorId="34666524" wp14:editId="5742E859">
            <wp:extent cx="6048918" cy="45815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_BioCollector_Locations.bmp"/>
                    <pic:cNvPicPr/>
                  </pic:nvPicPr>
                  <pic:blipFill rotWithShape="1">
                    <a:blip r:embed="rId5" cstate="print">
                      <a:extLst>
                        <a:ext uri="{28A0092B-C50C-407E-A947-70E740481C1C}">
                          <a14:useLocalDpi xmlns:a14="http://schemas.microsoft.com/office/drawing/2010/main" val="0"/>
                        </a:ext>
                      </a:extLst>
                    </a:blip>
                    <a:srcRect r="40545" b="36310"/>
                    <a:stretch/>
                  </pic:blipFill>
                  <pic:spPr bwMode="auto">
                    <a:xfrm>
                      <a:off x="0" y="0"/>
                      <a:ext cx="6056216" cy="4587052"/>
                    </a:xfrm>
                    <a:prstGeom prst="rect">
                      <a:avLst/>
                    </a:prstGeom>
                    <a:ln>
                      <a:noFill/>
                    </a:ln>
                    <a:extLst>
                      <a:ext uri="{53640926-AAD7-44D8-BBD7-CCE9431645EC}">
                        <a14:shadowObscured xmlns:a14="http://schemas.microsoft.com/office/drawing/2010/main"/>
                      </a:ext>
                    </a:extLst>
                  </pic:spPr>
                </pic:pic>
              </a:graphicData>
            </a:graphic>
          </wp:inline>
        </w:drawing>
      </w:r>
    </w:p>
    <w:p w14:paraId="3F47CE86" w14:textId="77777777" w:rsidR="00F93968" w:rsidRPr="00220C0E" w:rsidRDefault="00F93968" w:rsidP="00C550A4">
      <w:pPr>
        <w:rPr>
          <w:rFonts w:cstheme="minorHAnsi"/>
          <w:sz w:val="24"/>
          <w:szCs w:val="24"/>
          <w:lang w:val="fr-CA"/>
        </w:rPr>
      </w:pPr>
      <w:r w:rsidRPr="00220C0E">
        <w:rPr>
          <w:rFonts w:cstheme="minorHAnsi"/>
          <w:sz w:val="24"/>
          <w:szCs w:val="24"/>
          <w:lang w:val="fr-CA"/>
        </w:rPr>
        <w:t>Figure 1. Sites d’échantillonnage des bio-collecteurs. Les étoiles rouges représentent les sites actuels et les étoiles noires représentent les sites abandonnés au fil dans années.</w:t>
      </w:r>
    </w:p>
    <w:p w14:paraId="40CAC4AB" w14:textId="77777777" w:rsidR="00F93968" w:rsidRPr="00220C0E" w:rsidRDefault="00F93968">
      <w:pPr>
        <w:rPr>
          <w:rFonts w:cstheme="minorHAnsi"/>
          <w:sz w:val="24"/>
          <w:szCs w:val="24"/>
          <w:lang w:val="fr-CA"/>
        </w:rPr>
      </w:pPr>
    </w:p>
    <w:p w14:paraId="3DE7B3BB" w14:textId="77777777" w:rsidR="00F93968" w:rsidRPr="00220C0E" w:rsidRDefault="00F93968">
      <w:pPr>
        <w:rPr>
          <w:rFonts w:cstheme="minorHAnsi"/>
          <w:b/>
          <w:sz w:val="24"/>
          <w:szCs w:val="24"/>
          <w:lang w:val="fr-CA"/>
        </w:rPr>
      </w:pPr>
      <w:r w:rsidRPr="00220C0E">
        <w:rPr>
          <w:rFonts w:cstheme="minorHAnsi"/>
          <w:b/>
          <w:sz w:val="24"/>
          <w:szCs w:val="24"/>
          <w:lang w:val="fr-CA"/>
        </w:rPr>
        <w:t>Méthodes de terrain</w:t>
      </w:r>
    </w:p>
    <w:p w14:paraId="7CE6DE14" w14:textId="6F208C17" w:rsidR="00F93968" w:rsidRDefault="00F93968">
      <w:pPr>
        <w:rPr>
          <w:rFonts w:cstheme="minorHAnsi"/>
          <w:sz w:val="24"/>
          <w:szCs w:val="24"/>
          <w:lang w:val="fr-CA"/>
        </w:rPr>
      </w:pPr>
      <w:r w:rsidRPr="00220C0E">
        <w:rPr>
          <w:rFonts w:cstheme="minorHAnsi"/>
          <w:sz w:val="24"/>
          <w:szCs w:val="24"/>
          <w:lang w:val="fr-CA"/>
        </w:rPr>
        <w:t>La récupération des bio-collecteurs en mer est coordonnée et faite par la PEIFA et la province de I.-P.-E. L’équipe du MPO travaille à partir du quai seulement. Les bio-collecteurs sont déchargés sur le quai et sont placés sur la table de tri un à un. Un coup sur la table, une photo du contenu de chaque bio-collecteur est prise. Une évaluation de la quantité de gravier restant ou d’accumulation de sable sont notés. Une accumulation trop grande de sable ou une perte importante de gravier dans le bio-collecteurs affectera le nombre de homards de l’année  dans celui-ci car l’habitat ne sera pas idéal pour eux. La décision est parfois prise de ne pas échantillonné ces bio-collecteurs ensablés ou sans gravier car les données ne seraient pas fiables. Par la suite, les grosses roches sont inspectées visuellement et enlevées du bio-</w:t>
      </w:r>
      <w:r w:rsidRPr="00220C0E">
        <w:rPr>
          <w:rFonts w:cstheme="minorHAnsi"/>
          <w:sz w:val="24"/>
          <w:szCs w:val="24"/>
          <w:lang w:val="fr-CA"/>
        </w:rPr>
        <w:lastRenderedPageBreak/>
        <w:t>collecteurs. Le gravier est ensuite minutieusement examiné afin de trouver les homards, les crabes et les poissons. Les homards sont mesurés, sexés (si plus de 20mm LC) et remis à l’eau immédiatement. Les crabes et les poissons sont comptés et placés dans un sac identifié par le numéro du collecteur et gelé. Lorsque l’échantillonnage d’un bio-collecteur se termine, il est rincé, le grillage en plastique est replacé dans le fond, rempli de gravier et de grosses roches.</w:t>
      </w:r>
    </w:p>
    <w:p w14:paraId="4EAB4AA9" w14:textId="77777777" w:rsidR="00220C0E" w:rsidRPr="00220C0E" w:rsidRDefault="00220C0E">
      <w:pPr>
        <w:rPr>
          <w:rFonts w:cstheme="minorHAnsi"/>
          <w:sz w:val="24"/>
          <w:szCs w:val="24"/>
          <w:lang w:val="fr-CA"/>
        </w:rPr>
      </w:pPr>
    </w:p>
    <w:p w14:paraId="3FE29A9B" w14:textId="77777777" w:rsidR="00F93968" w:rsidRPr="00220C0E" w:rsidRDefault="00F93968">
      <w:pPr>
        <w:rPr>
          <w:rFonts w:cstheme="minorHAnsi"/>
          <w:b/>
          <w:sz w:val="24"/>
          <w:szCs w:val="24"/>
          <w:lang w:val="fr-CA"/>
        </w:rPr>
      </w:pPr>
      <w:r w:rsidRPr="00220C0E">
        <w:rPr>
          <w:rFonts w:cstheme="minorHAnsi"/>
          <w:b/>
          <w:sz w:val="24"/>
          <w:szCs w:val="24"/>
          <w:lang w:val="fr-CA"/>
        </w:rPr>
        <w:t xml:space="preserve">Résumé des activités de terrain de 2020 : </w:t>
      </w:r>
    </w:p>
    <w:p w14:paraId="7351F12A" w14:textId="7B33AC2A" w:rsidR="00F93968" w:rsidRPr="00220C0E" w:rsidRDefault="00F93968">
      <w:pPr>
        <w:rPr>
          <w:rFonts w:cstheme="minorHAnsi"/>
          <w:sz w:val="24"/>
          <w:szCs w:val="24"/>
          <w:lang w:val="fr-CA"/>
        </w:rPr>
      </w:pPr>
      <w:r w:rsidRPr="00220C0E">
        <w:rPr>
          <w:rFonts w:cstheme="minorHAnsi"/>
          <w:sz w:val="24"/>
          <w:szCs w:val="24"/>
          <w:lang w:val="fr-CA"/>
        </w:rPr>
        <w:t>En 2020, dû à la pandémie de COVID-19, le site de Wallace en Nouvelle-Écosse n’a pas été échantillonné  car</w:t>
      </w:r>
      <w:r w:rsidR="009647B0" w:rsidRPr="00220C0E">
        <w:rPr>
          <w:rFonts w:cstheme="minorHAnsi"/>
          <w:sz w:val="24"/>
          <w:szCs w:val="24"/>
          <w:lang w:val="fr-CA"/>
        </w:rPr>
        <w:t xml:space="preserve"> </w:t>
      </w:r>
      <w:r w:rsidRPr="00220C0E">
        <w:rPr>
          <w:rFonts w:cstheme="minorHAnsi"/>
          <w:sz w:val="24"/>
          <w:szCs w:val="24"/>
          <w:lang w:val="fr-CA"/>
        </w:rPr>
        <w:t xml:space="preserve">c’était incertain si l’équipe du MPO serait en mesure d’aller échantillonner dans cette province en automne. Le nombre total de site pour l’année 2020 a été de sept. De plus, les sites de Cap Egmont et de </w:t>
      </w:r>
      <w:proofErr w:type="spellStart"/>
      <w:r w:rsidRPr="00220C0E">
        <w:rPr>
          <w:rFonts w:cstheme="minorHAnsi"/>
          <w:sz w:val="24"/>
          <w:szCs w:val="24"/>
          <w:lang w:val="fr-CA"/>
        </w:rPr>
        <w:t>Skinners</w:t>
      </w:r>
      <w:proofErr w:type="spellEnd"/>
      <w:r w:rsidRPr="00220C0E">
        <w:rPr>
          <w:rFonts w:cstheme="minorHAnsi"/>
          <w:sz w:val="24"/>
          <w:szCs w:val="24"/>
          <w:lang w:val="fr-CA"/>
        </w:rPr>
        <w:t xml:space="preserve"> Pond ont été échantillonnés par l’équipe de PEIFA et de la province de PEI seulement. L’équipe du MPO n’a pas été en mesure d’être sur place à cause des mesures de restrictions des voyages (phase orange) dû à une éclosion de COVID-19 dans la région de Moncton. </w:t>
      </w:r>
    </w:p>
    <w:p w14:paraId="271B9D7A" w14:textId="77777777" w:rsidR="00F93968" w:rsidRPr="00220C0E" w:rsidRDefault="00F93968">
      <w:pPr>
        <w:rPr>
          <w:rFonts w:cstheme="minorHAnsi"/>
          <w:sz w:val="24"/>
          <w:szCs w:val="24"/>
          <w:lang w:val="fr-CA"/>
        </w:rPr>
      </w:pPr>
    </w:p>
    <w:p w14:paraId="6975114F" w14:textId="77777777" w:rsidR="00F93968" w:rsidRPr="00220C0E" w:rsidRDefault="00F93968">
      <w:pPr>
        <w:rPr>
          <w:rFonts w:cstheme="minorHAnsi"/>
          <w:sz w:val="24"/>
          <w:szCs w:val="24"/>
          <w:lang w:val="fr-CA"/>
        </w:rPr>
      </w:pPr>
      <w:r w:rsidRPr="002E0017">
        <w:rPr>
          <w:rFonts w:cstheme="minorHAnsi"/>
          <w:sz w:val="24"/>
          <w:szCs w:val="24"/>
          <w:lang w:val="fr-CA"/>
        </w:rPr>
        <w:t>Tableau 1. Information</w:t>
      </w:r>
      <w:r w:rsidRPr="00220C0E">
        <w:rPr>
          <w:rFonts w:cstheme="minorHAnsi"/>
          <w:sz w:val="24"/>
          <w:szCs w:val="24"/>
          <w:lang w:val="fr-CA"/>
        </w:rPr>
        <w:t xml:space="preserve"> sur le déploiement et la récupération des collecteurs pour l’année 2020</w:t>
      </w:r>
    </w:p>
    <w:p w14:paraId="4B25E22F" w14:textId="77777777" w:rsidR="00F93968" w:rsidRPr="00220C0E" w:rsidRDefault="00F93968">
      <w:pPr>
        <w:rPr>
          <w:rFonts w:cstheme="minorHAnsi"/>
          <w:sz w:val="24"/>
          <w:szCs w:val="24"/>
          <w:lang w:val="fr-CA"/>
        </w:rPr>
      </w:pPr>
    </w:p>
    <w:tbl>
      <w:tblPr>
        <w:tblStyle w:val="Grilledutableau"/>
        <w:tblW w:w="11624" w:type="dxa"/>
        <w:tblInd w:w="-1139" w:type="dxa"/>
        <w:tblLook w:val="04A0" w:firstRow="1" w:lastRow="0" w:firstColumn="1" w:lastColumn="0" w:noHBand="0" w:noVBand="1"/>
      </w:tblPr>
      <w:tblGrid>
        <w:gridCol w:w="1717"/>
        <w:gridCol w:w="1286"/>
        <w:gridCol w:w="1542"/>
        <w:gridCol w:w="1325"/>
        <w:gridCol w:w="1325"/>
        <w:gridCol w:w="1325"/>
        <w:gridCol w:w="1642"/>
        <w:gridCol w:w="1462"/>
      </w:tblGrid>
      <w:tr w:rsidR="00F93968" w:rsidRPr="00220C0E" w14:paraId="6B5B9F69" w14:textId="77777777" w:rsidTr="00DC5CE7">
        <w:tc>
          <w:tcPr>
            <w:tcW w:w="1717" w:type="dxa"/>
          </w:tcPr>
          <w:p w14:paraId="076300CA" w14:textId="77777777" w:rsidR="00F93968" w:rsidRPr="00220C0E" w:rsidRDefault="00F93968" w:rsidP="008A5BA9">
            <w:pPr>
              <w:jc w:val="center"/>
              <w:rPr>
                <w:rFonts w:cstheme="minorHAnsi"/>
                <w:sz w:val="24"/>
                <w:szCs w:val="24"/>
              </w:rPr>
            </w:pPr>
            <w:r w:rsidRPr="00220C0E">
              <w:rPr>
                <w:rFonts w:cstheme="minorHAnsi"/>
                <w:sz w:val="24"/>
                <w:szCs w:val="24"/>
              </w:rPr>
              <w:t>Sites</w:t>
            </w:r>
          </w:p>
        </w:tc>
        <w:tc>
          <w:tcPr>
            <w:tcW w:w="1286" w:type="dxa"/>
          </w:tcPr>
          <w:p w14:paraId="7C220571" w14:textId="77777777" w:rsidR="00F93968" w:rsidRPr="00220C0E" w:rsidRDefault="00F93968" w:rsidP="008A5BA9">
            <w:pPr>
              <w:jc w:val="center"/>
              <w:rPr>
                <w:rFonts w:cstheme="minorHAnsi"/>
                <w:sz w:val="24"/>
                <w:szCs w:val="24"/>
              </w:rPr>
            </w:pPr>
            <w:r w:rsidRPr="00220C0E">
              <w:rPr>
                <w:rFonts w:cstheme="minorHAnsi"/>
                <w:sz w:val="24"/>
                <w:szCs w:val="24"/>
              </w:rPr>
              <w:t>Date</w:t>
            </w:r>
          </w:p>
          <w:p w14:paraId="4037CBDE" w14:textId="77777777" w:rsidR="00F93968" w:rsidRPr="00220C0E" w:rsidRDefault="00F93968" w:rsidP="008A5BA9">
            <w:pPr>
              <w:jc w:val="center"/>
              <w:rPr>
                <w:rFonts w:cstheme="minorHAnsi"/>
                <w:sz w:val="24"/>
                <w:szCs w:val="24"/>
              </w:rPr>
            </w:pPr>
            <w:proofErr w:type="spellStart"/>
            <w:r w:rsidRPr="00220C0E">
              <w:rPr>
                <w:rFonts w:cstheme="minorHAnsi"/>
                <w:sz w:val="24"/>
                <w:szCs w:val="24"/>
              </w:rPr>
              <w:t>déployée</w:t>
            </w:r>
            <w:proofErr w:type="spellEnd"/>
          </w:p>
        </w:tc>
        <w:tc>
          <w:tcPr>
            <w:tcW w:w="1542" w:type="dxa"/>
          </w:tcPr>
          <w:p w14:paraId="3794DB64" w14:textId="77777777" w:rsidR="00F93968" w:rsidRPr="00220C0E" w:rsidRDefault="00F93968" w:rsidP="008A5BA9">
            <w:pPr>
              <w:jc w:val="center"/>
              <w:rPr>
                <w:rFonts w:cstheme="minorHAnsi"/>
                <w:sz w:val="24"/>
                <w:szCs w:val="24"/>
              </w:rPr>
            </w:pPr>
            <w:r w:rsidRPr="00220C0E">
              <w:rPr>
                <w:rFonts w:cstheme="minorHAnsi"/>
                <w:sz w:val="24"/>
                <w:szCs w:val="24"/>
              </w:rPr>
              <w:t xml:space="preserve">Date </w:t>
            </w:r>
            <w:proofErr w:type="spellStart"/>
            <w:r w:rsidRPr="00220C0E">
              <w:rPr>
                <w:rFonts w:cstheme="minorHAnsi"/>
                <w:sz w:val="24"/>
                <w:szCs w:val="24"/>
              </w:rPr>
              <w:t>échantillonée</w:t>
            </w:r>
            <w:proofErr w:type="spellEnd"/>
          </w:p>
        </w:tc>
        <w:tc>
          <w:tcPr>
            <w:tcW w:w="1325" w:type="dxa"/>
          </w:tcPr>
          <w:p w14:paraId="64B159B4" w14:textId="77777777" w:rsidR="00F93968" w:rsidRPr="00220C0E" w:rsidRDefault="00F93968" w:rsidP="008A5BA9">
            <w:pPr>
              <w:jc w:val="center"/>
              <w:rPr>
                <w:rFonts w:cstheme="minorHAnsi"/>
                <w:sz w:val="24"/>
                <w:szCs w:val="24"/>
                <w:lang w:val="fr-CA"/>
              </w:rPr>
            </w:pPr>
            <w:r w:rsidRPr="00220C0E">
              <w:rPr>
                <w:rFonts w:cstheme="minorHAnsi"/>
                <w:sz w:val="24"/>
                <w:szCs w:val="24"/>
              </w:rPr>
              <w:t xml:space="preserve"># </w:t>
            </w:r>
            <w:proofErr w:type="spellStart"/>
            <w:r w:rsidRPr="00220C0E">
              <w:rPr>
                <w:rFonts w:cstheme="minorHAnsi"/>
                <w:sz w:val="24"/>
                <w:szCs w:val="24"/>
              </w:rPr>
              <w:t>collecteurs</w:t>
            </w:r>
            <w:proofErr w:type="spellEnd"/>
            <w:r w:rsidRPr="00220C0E">
              <w:rPr>
                <w:rFonts w:cstheme="minorHAnsi"/>
                <w:sz w:val="24"/>
                <w:szCs w:val="24"/>
              </w:rPr>
              <w:t xml:space="preserve"> d</w:t>
            </w:r>
            <w:r w:rsidRPr="00220C0E">
              <w:rPr>
                <w:rFonts w:cstheme="minorHAnsi"/>
                <w:sz w:val="24"/>
                <w:szCs w:val="24"/>
                <w:lang w:val="fr-CA"/>
              </w:rPr>
              <w:t>éployés</w:t>
            </w:r>
          </w:p>
        </w:tc>
        <w:tc>
          <w:tcPr>
            <w:tcW w:w="1325" w:type="dxa"/>
          </w:tcPr>
          <w:p w14:paraId="02CB2815" w14:textId="77777777" w:rsidR="00F93968" w:rsidRPr="00220C0E" w:rsidRDefault="00F93968" w:rsidP="008A5BA9">
            <w:pPr>
              <w:jc w:val="center"/>
              <w:rPr>
                <w:rFonts w:cstheme="minorHAnsi"/>
                <w:sz w:val="24"/>
                <w:szCs w:val="24"/>
              </w:rPr>
            </w:pPr>
            <w:r w:rsidRPr="00220C0E">
              <w:rPr>
                <w:rFonts w:cstheme="minorHAnsi"/>
                <w:sz w:val="24"/>
                <w:szCs w:val="24"/>
              </w:rPr>
              <w:t xml:space="preserve"># </w:t>
            </w:r>
            <w:proofErr w:type="spellStart"/>
            <w:r w:rsidRPr="00220C0E">
              <w:rPr>
                <w:rFonts w:cstheme="minorHAnsi"/>
                <w:sz w:val="24"/>
                <w:szCs w:val="24"/>
              </w:rPr>
              <w:t>collecteurs</w:t>
            </w:r>
            <w:proofErr w:type="spellEnd"/>
          </w:p>
          <w:p w14:paraId="46CD715D" w14:textId="77777777" w:rsidR="00F93968" w:rsidRPr="00220C0E" w:rsidRDefault="00F93968" w:rsidP="008A5BA9">
            <w:pPr>
              <w:jc w:val="center"/>
              <w:rPr>
                <w:rFonts w:cstheme="minorHAnsi"/>
                <w:sz w:val="24"/>
                <w:szCs w:val="24"/>
              </w:rPr>
            </w:pPr>
            <w:proofErr w:type="spellStart"/>
            <w:r w:rsidRPr="00220C0E">
              <w:rPr>
                <w:rFonts w:cstheme="minorHAnsi"/>
                <w:sz w:val="24"/>
                <w:szCs w:val="24"/>
              </w:rPr>
              <w:t>récupérés</w:t>
            </w:r>
            <w:proofErr w:type="spellEnd"/>
          </w:p>
        </w:tc>
        <w:tc>
          <w:tcPr>
            <w:tcW w:w="1325" w:type="dxa"/>
          </w:tcPr>
          <w:p w14:paraId="5282DE6B" w14:textId="77777777" w:rsidR="00F93968" w:rsidRPr="00220C0E" w:rsidRDefault="00F93968" w:rsidP="008A5BA9">
            <w:pPr>
              <w:jc w:val="center"/>
              <w:rPr>
                <w:rFonts w:cstheme="minorHAnsi"/>
                <w:sz w:val="24"/>
                <w:szCs w:val="24"/>
              </w:rPr>
            </w:pPr>
            <w:r w:rsidRPr="00220C0E">
              <w:rPr>
                <w:rFonts w:cstheme="minorHAnsi"/>
                <w:sz w:val="24"/>
                <w:szCs w:val="24"/>
              </w:rPr>
              <w:t xml:space="preserve"># </w:t>
            </w:r>
            <w:proofErr w:type="spellStart"/>
            <w:r w:rsidRPr="00220C0E">
              <w:rPr>
                <w:rFonts w:cstheme="minorHAnsi"/>
                <w:sz w:val="24"/>
                <w:szCs w:val="24"/>
              </w:rPr>
              <w:t>collecteurs</w:t>
            </w:r>
            <w:proofErr w:type="spellEnd"/>
          </w:p>
          <w:p w14:paraId="019B935B" w14:textId="77777777" w:rsidR="00F93968" w:rsidRPr="00220C0E" w:rsidRDefault="00F93968" w:rsidP="008A5BA9">
            <w:pPr>
              <w:jc w:val="center"/>
              <w:rPr>
                <w:rFonts w:cstheme="minorHAnsi"/>
                <w:sz w:val="24"/>
                <w:szCs w:val="24"/>
              </w:rPr>
            </w:pPr>
            <w:r w:rsidRPr="00220C0E">
              <w:rPr>
                <w:rFonts w:cstheme="minorHAnsi"/>
                <w:sz w:val="24"/>
                <w:szCs w:val="24"/>
              </w:rPr>
              <w:t>perdus</w:t>
            </w:r>
          </w:p>
        </w:tc>
        <w:tc>
          <w:tcPr>
            <w:tcW w:w="1642" w:type="dxa"/>
          </w:tcPr>
          <w:p w14:paraId="4870AD6D" w14:textId="77777777" w:rsidR="00F93968" w:rsidRPr="00220C0E" w:rsidRDefault="00F93968" w:rsidP="008A5BA9">
            <w:pPr>
              <w:jc w:val="center"/>
              <w:rPr>
                <w:rFonts w:cstheme="minorHAnsi"/>
                <w:sz w:val="24"/>
                <w:szCs w:val="24"/>
              </w:rPr>
            </w:pPr>
            <w:r w:rsidRPr="00220C0E">
              <w:rPr>
                <w:rFonts w:cstheme="minorHAnsi"/>
                <w:sz w:val="24"/>
                <w:szCs w:val="24"/>
              </w:rPr>
              <w:t xml:space="preserve"># </w:t>
            </w:r>
            <w:proofErr w:type="spellStart"/>
            <w:r w:rsidRPr="00220C0E">
              <w:rPr>
                <w:rFonts w:cstheme="minorHAnsi"/>
                <w:sz w:val="24"/>
                <w:szCs w:val="24"/>
              </w:rPr>
              <w:t>collecteurs</w:t>
            </w:r>
            <w:proofErr w:type="spellEnd"/>
            <w:r w:rsidRPr="00220C0E">
              <w:rPr>
                <w:rFonts w:cstheme="minorHAnsi"/>
                <w:sz w:val="24"/>
                <w:szCs w:val="24"/>
              </w:rPr>
              <w:t xml:space="preserve"> </w:t>
            </w:r>
            <w:proofErr w:type="spellStart"/>
            <w:r w:rsidRPr="00220C0E">
              <w:rPr>
                <w:rFonts w:cstheme="minorHAnsi"/>
                <w:sz w:val="24"/>
                <w:szCs w:val="24"/>
              </w:rPr>
              <w:t>échantillonnés</w:t>
            </w:r>
            <w:proofErr w:type="spellEnd"/>
          </w:p>
        </w:tc>
        <w:tc>
          <w:tcPr>
            <w:tcW w:w="1462" w:type="dxa"/>
          </w:tcPr>
          <w:p w14:paraId="25B9FE40" w14:textId="77777777" w:rsidR="00F93968" w:rsidRPr="00220C0E" w:rsidRDefault="00F93968" w:rsidP="008A5BA9">
            <w:pPr>
              <w:jc w:val="center"/>
              <w:rPr>
                <w:rFonts w:cstheme="minorHAnsi"/>
                <w:sz w:val="24"/>
                <w:szCs w:val="24"/>
              </w:rPr>
            </w:pPr>
            <w:proofErr w:type="spellStart"/>
            <w:r w:rsidRPr="00220C0E">
              <w:rPr>
                <w:rFonts w:cstheme="minorHAnsi"/>
                <w:sz w:val="24"/>
                <w:szCs w:val="24"/>
              </w:rPr>
              <w:t>Sonde</w:t>
            </w:r>
            <w:proofErr w:type="spellEnd"/>
            <w:r w:rsidRPr="00220C0E">
              <w:rPr>
                <w:rFonts w:cstheme="minorHAnsi"/>
                <w:sz w:val="24"/>
                <w:szCs w:val="24"/>
              </w:rPr>
              <w:t xml:space="preserve"> de </w:t>
            </w:r>
            <w:proofErr w:type="spellStart"/>
            <w:r w:rsidRPr="00220C0E">
              <w:rPr>
                <w:rFonts w:cstheme="minorHAnsi"/>
                <w:sz w:val="24"/>
                <w:szCs w:val="24"/>
              </w:rPr>
              <w:t>température</w:t>
            </w:r>
            <w:proofErr w:type="spellEnd"/>
          </w:p>
        </w:tc>
      </w:tr>
      <w:tr w:rsidR="00F93968" w:rsidRPr="00220C0E" w14:paraId="39957E18" w14:textId="77777777" w:rsidTr="00DC5CE7">
        <w:tc>
          <w:tcPr>
            <w:tcW w:w="1717" w:type="dxa"/>
          </w:tcPr>
          <w:p w14:paraId="34FF67E5" w14:textId="77777777" w:rsidR="00F93968" w:rsidRPr="00220C0E" w:rsidRDefault="00F93968" w:rsidP="008A5BA9">
            <w:pPr>
              <w:jc w:val="center"/>
              <w:rPr>
                <w:rFonts w:cstheme="minorHAnsi"/>
                <w:sz w:val="24"/>
                <w:szCs w:val="24"/>
              </w:rPr>
            </w:pPr>
            <w:r w:rsidRPr="00220C0E">
              <w:rPr>
                <w:rFonts w:cstheme="minorHAnsi"/>
                <w:sz w:val="24"/>
                <w:szCs w:val="24"/>
              </w:rPr>
              <w:t>Alberton PEI</w:t>
            </w:r>
          </w:p>
        </w:tc>
        <w:tc>
          <w:tcPr>
            <w:tcW w:w="1286" w:type="dxa"/>
          </w:tcPr>
          <w:p w14:paraId="454193A2" w14:textId="2DE01CB2" w:rsidR="00F93968" w:rsidRPr="00220C0E" w:rsidRDefault="007D2152" w:rsidP="00766BCA">
            <w:pPr>
              <w:jc w:val="center"/>
              <w:rPr>
                <w:rFonts w:cstheme="minorHAnsi"/>
                <w:sz w:val="24"/>
                <w:szCs w:val="24"/>
              </w:rPr>
            </w:pPr>
            <w:r>
              <w:rPr>
                <w:rFonts w:cstheme="minorHAnsi"/>
                <w:sz w:val="24"/>
                <w:szCs w:val="24"/>
              </w:rPr>
              <w:t xml:space="preserve">10 </w:t>
            </w:r>
            <w:proofErr w:type="spellStart"/>
            <w:r>
              <w:rPr>
                <w:rFonts w:cstheme="minorHAnsi"/>
                <w:sz w:val="24"/>
                <w:szCs w:val="24"/>
              </w:rPr>
              <w:t>juillet</w:t>
            </w:r>
            <w:proofErr w:type="spellEnd"/>
          </w:p>
        </w:tc>
        <w:tc>
          <w:tcPr>
            <w:tcW w:w="1542" w:type="dxa"/>
          </w:tcPr>
          <w:p w14:paraId="7FC986B7" w14:textId="77777777" w:rsidR="00F93968" w:rsidRPr="00220C0E" w:rsidRDefault="00F93968" w:rsidP="00766BCA">
            <w:pPr>
              <w:jc w:val="center"/>
              <w:rPr>
                <w:rFonts w:cstheme="minorHAnsi"/>
                <w:sz w:val="24"/>
                <w:szCs w:val="24"/>
              </w:rPr>
            </w:pPr>
            <w:r w:rsidRPr="00220C0E">
              <w:rPr>
                <w:rFonts w:cstheme="minorHAnsi"/>
                <w:sz w:val="24"/>
                <w:szCs w:val="24"/>
              </w:rPr>
              <w:t xml:space="preserve">25 </w:t>
            </w:r>
            <w:proofErr w:type="spellStart"/>
            <w:r w:rsidRPr="00220C0E">
              <w:rPr>
                <w:rFonts w:cstheme="minorHAnsi"/>
                <w:sz w:val="24"/>
                <w:szCs w:val="24"/>
              </w:rPr>
              <w:t>septembre</w:t>
            </w:r>
            <w:proofErr w:type="spellEnd"/>
          </w:p>
        </w:tc>
        <w:tc>
          <w:tcPr>
            <w:tcW w:w="1325" w:type="dxa"/>
          </w:tcPr>
          <w:p w14:paraId="714204A7" w14:textId="08C9B0FC" w:rsidR="00F93968" w:rsidRPr="00220C0E" w:rsidRDefault="007D2152" w:rsidP="00033FCF">
            <w:pPr>
              <w:jc w:val="center"/>
              <w:rPr>
                <w:rFonts w:cstheme="minorHAnsi"/>
                <w:sz w:val="24"/>
                <w:szCs w:val="24"/>
              </w:rPr>
            </w:pPr>
            <w:r>
              <w:rPr>
                <w:rFonts w:cstheme="minorHAnsi"/>
                <w:sz w:val="24"/>
                <w:szCs w:val="24"/>
              </w:rPr>
              <w:t>30</w:t>
            </w:r>
          </w:p>
        </w:tc>
        <w:tc>
          <w:tcPr>
            <w:tcW w:w="1325" w:type="dxa"/>
          </w:tcPr>
          <w:p w14:paraId="0CB96359" w14:textId="778B2EAC" w:rsidR="00F93968" w:rsidRPr="00220C0E" w:rsidRDefault="005C0B30" w:rsidP="00033FCF">
            <w:pPr>
              <w:jc w:val="center"/>
              <w:rPr>
                <w:rFonts w:cstheme="minorHAnsi"/>
                <w:sz w:val="24"/>
                <w:szCs w:val="24"/>
              </w:rPr>
            </w:pPr>
            <w:r>
              <w:rPr>
                <w:rFonts w:cstheme="minorHAnsi"/>
                <w:sz w:val="24"/>
                <w:szCs w:val="24"/>
              </w:rPr>
              <w:t>30</w:t>
            </w:r>
          </w:p>
        </w:tc>
        <w:tc>
          <w:tcPr>
            <w:tcW w:w="1325" w:type="dxa"/>
          </w:tcPr>
          <w:p w14:paraId="3F24F75E" w14:textId="318A7B44" w:rsidR="00F93968" w:rsidRPr="00220C0E" w:rsidRDefault="005C0B30" w:rsidP="00033FCF">
            <w:pPr>
              <w:jc w:val="center"/>
              <w:rPr>
                <w:rFonts w:cstheme="minorHAnsi"/>
                <w:sz w:val="24"/>
                <w:szCs w:val="24"/>
              </w:rPr>
            </w:pPr>
            <w:r>
              <w:rPr>
                <w:rFonts w:cstheme="minorHAnsi"/>
                <w:sz w:val="24"/>
                <w:szCs w:val="24"/>
              </w:rPr>
              <w:t>0</w:t>
            </w:r>
          </w:p>
        </w:tc>
        <w:tc>
          <w:tcPr>
            <w:tcW w:w="1642" w:type="dxa"/>
          </w:tcPr>
          <w:p w14:paraId="0832A72B" w14:textId="41B48724" w:rsidR="00F93968" w:rsidRPr="00220C0E" w:rsidRDefault="005C0B30" w:rsidP="00033FCF">
            <w:pPr>
              <w:jc w:val="center"/>
              <w:rPr>
                <w:rFonts w:cstheme="minorHAnsi"/>
                <w:sz w:val="24"/>
                <w:szCs w:val="24"/>
              </w:rPr>
            </w:pPr>
            <w:r>
              <w:rPr>
                <w:rFonts w:cstheme="minorHAnsi"/>
                <w:sz w:val="24"/>
                <w:szCs w:val="24"/>
              </w:rPr>
              <w:t>30</w:t>
            </w:r>
          </w:p>
        </w:tc>
        <w:tc>
          <w:tcPr>
            <w:tcW w:w="1462" w:type="dxa"/>
          </w:tcPr>
          <w:p w14:paraId="1A43E42E" w14:textId="77777777" w:rsidR="00F93968" w:rsidRPr="00220C0E" w:rsidRDefault="00F93968" w:rsidP="00033FCF">
            <w:pPr>
              <w:jc w:val="center"/>
              <w:rPr>
                <w:rFonts w:cstheme="minorHAnsi"/>
                <w:sz w:val="24"/>
                <w:szCs w:val="24"/>
              </w:rPr>
            </w:pPr>
            <w:proofErr w:type="spellStart"/>
            <w:r w:rsidRPr="00220C0E">
              <w:rPr>
                <w:rFonts w:cstheme="minorHAnsi"/>
                <w:sz w:val="24"/>
                <w:szCs w:val="24"/>
              </w:rPr>
              <w:t>oui</w:t>
            </w:r>
            <w:proofErr w:type="spellEnd"/>
          </w:p>
        </w:tc>
      </w:tr>
      <w:tr w:rsidR="00F93968" w:rsidRPr="00220C0E" w14:paraId="40FAD0A5" w14:textId="77777777" w:rsidTr="00DC5CE7">
        <w:tc>
          <w:tcPr>
            <w:tcW w:w="1717" w:type="dxa"/>
          </w:tcPr>
          <w:p w14:paraId="37134034" w14:textId="77777777" w:rsidR="00F93968" w:rsidRPr="00220C0E" w:rsidRDefault="00F93968" w:rsidP="008A5BA9">
            <w:pPr>
              <w:jc w:val="center"/>
              <w:rPr>
                <w:rFonts w:cstheme="minorHAnsi"/>
                <w:sz w:val="24"/>
                <w:szCs w:val="24"/>
              </w:rPr>
            </w:pPr>
            <w:r w:rsidRPr="00220C0E">
              <w:rPr>
                <w:rFonts w:cstheme="minorHAnsi"/>
                <w:sz w:val="24"/>
                <w:szCs w:val="24"/>
              </w:rPr>
              <w:t>Beach Point PEI</w:t>
            </w:r>
          </w:p>
        </w:tc>
        <w:tc>
          <w:tcPr>
            <w:tcW w:w="1286" w:type="dxa"/>
          </w:tcPr>
          <w:p w14:paraId="7892CA6D" w14:textId="6C2F5054" w:rsidR="00F93968" w:rsidRPr="00220C0E" w:rsidRDefault="007D2152" w:rsidP="00766BCA">
            <w:pPr>
              <w:jc w:val="center"/>
              <w:rPr>
                <w:rFonts w:cstheme="minorHAnsi"/>
                <w:sz w:val="24"/>
                <w:szCs w:val="24"/>
              </w:rPr>
            </w:pPr>
            <w:r>
              <w:rPr>
                <w:rFonts w:cstheme="minorHAnsi"/>
                <w:sz w:val="24"/>
                <w:szCs w:val="24"/>
              </w:rPr>
              <w:t xml:space="preserve">9 </w:t>
            </w:r>
            <w:proofErr w:type="spellStart"/>
            <w:r>
              <w:rPr>
                <w:rFonts w:cstheme="minorHAnsi"/>
                <w:sz w:val="24"/>
                <w:szCs w:val="24"/>
              </w:rPr>
              <w:t>juillet</w:t>
            </w:r>
            <w:proofErr w:type="spellEnd"/>
          </w:p>
        </w:tc>
        <w:tc>
          <w:tcPr>
            <w:tcW w:w="1542" w:type="dxa"/>
          </w:tcPr>
          <w:p w14:paraId="326CB900" w14:textId="77777777" w:rsidR="00F93968" w:rsidRPr="00220C0E" w:rsidRDefault="00F93968" w:rsidP="00766BCA">
            <w:pPr>
              <w:jc w:val="center"/>
              <w:rPr>
                <w:rFonts w:cstheme="minorHAnsi"/>
                <w:sz w:val="24"/>
                <w:szCs w:val="24"/>
              </w:rPr>
            </w:pPr>
            <w:r w:rsidRPr="00220C0E">
              <w:rPr>
                <w:rFonts w:cstheme="minorHAnsi"/>
                <w:sz w:val="24"/>
                <w:szCs w:val="24"/>
              </w:rPr>
              <w:t xml:space="preserve">22 </w:t>
            </w:r>
            <w:proofErr w:type="spellStart"/>
            <w:r w:rsidRPr="00220C0E">
              <w:rPr>
                <w:rFonts w:cstheme="minorHAnsi"/>
                <w:sz w:val="24"/>
                <w:szCs w:val="24"/>
              </w:rPr>
              <w:t>septembre</w:t>
            </w:r>
            <w:proofErr w:type="spellEnd"/>
          </w:p>
        </w:tc>
        <w:tc>
          <w:tcPr>
            <w:tcW w:w="1325" w:type="dxa"/>
          </w:tcPr>
          <w:p w14:paraId="10020327" w14:textId="4A2AE96D" w:rsidR="00F93968" w:rsidRPr="00220C0E" w:rsidRDefault="007D2152" w:rsidP="00033FCF">
            <w:pPr>
              <w:jc w:val="center"/>
              <w:rPr>
                <w:rFonts w:cstheme="minorHAnsi"/>
                <w:sz w:val="24"/>
                <w:szCs w:val="24"/>
              </w:rPr>
            </w:pPr>
            <w:r>
              <w:rPr>
                <w:rFonts w:cstheme="minorHAnsi"/>
                <w:sz w:val="24"/>
                <w:szCs w:val="24"/>
              </w:rPr>
              <w:t>30</w:t>
            </w:r>
          </w:p>
        </w:tc>
        <w:tc>
          <w:tcPr>
            <w:tcW w:w="1325" w:type="dxa"/>
          </w:tcPr>
          <w:p w14:paraId="383FB3F4" w14:textId="4AF611A5" w:rsidR="00F93968" w:rsidRPr="00220C0E" w:rsidRDefault="002A4AA6" w:rsidP="00033FCF">
            <w:pPr>
              <w:jc w:val="center"/>
              <w:rPr>
                <w:rFonts w:cstheme="minorHAnsi"/>
                <w:sz w:val="24"/>
                <w:szCs w:val="24"/>
              </w:rPr>
            </w:pPr>
            <w:r>
              <w:rPr>
                <w:rFonts w:cstheme="minorHAnsi"/>
                <w:sz w:val="24"/>
                <w:szCs w:val="24"/>
              </w:rPr>
              <w:t>30</w:t>
            </w:r>
          </w:p>
        </w:tc>
        <w:tc>
          <w:tcPr>
            <w:tcW w:w="1325" w:type="dxa"/>
          </w:tcPr>
          <w:p w14:paraId="7EE767BC" w14:textId="3F60D5F8" w:rsidR="00F93968" w:rsidRPr="00220C0E" w:rsidRDefault="002A4AA6" w:rsidP="00033FCF">
            <w:pPr>
              <w:jc w:val="center"/>
              <w:rPr>
                <w:rFonts w:cstheme="minorHAnsi"/>
                <w:sz w:val="24"/>
                <w:szCs w:val="24"/>
              </w:rPr>
            </w:pPr>
            <w:r>
              <w:rPr>
                <w:rFonts w:cstheme="minorHAnsi"/>
                <w:sz w:val="24"/>
                <w:szCs w:val="24"/>
              </w:rPr>
              <w:t>0</w:t>
            </w:r>
          </w:p>
        </w:tc>
        <w:tc>
          <w:tcPr>
            <w:tcW w:w="1642" w:type="dxa"/>
          </w:tcPr>
          <w:p w14:paraId="0E839E2C" w14:textId="5D0FBA09" w:rsidR="00F93968" w:rsidRPr="00220C0E" w:rsidRDefault="002A4AA6" w:rsidP="00033FCF">
            <w:pPr>
              <w:jc w:val="center"/>
              <w:rPr>
                <w:rFonts w:cstheme="minorHAnsi"/>
                <w:sz w:val="24"/>
                <w:szCs w:val="24"/>
              </w:rPr>
            </w:pPr>
            <w:r>
              <w:rPr>
                <w:rFonts w:cstheme="minorHAnsi"/>
                <w:sz w:val="24"/>
                <w:szCs w:val="24"/>
              </w:rPr>
              <w:t>30</w:t>
            </w:r>
          </w:p>
        </w:tc>
        <w:tc>
          <w:tcPr>
            <w:tcW w:w="1462" w:type="dxa"/>
          </w:tcPr>
          <w:p w14:paraId="6A57AFA9" w14:textId="77777777" w:rsidR="00F93968" w:rsidRPr="00220C0E" w:rsidRDefault="00F93968" w:rsidP="00033FCF">
            <w:pPr>
              <w:jc w:val="center"/>
              <w:rPr>
                <w:rFonts w:cstheme="minorHAnsi"/>
                <w:sz w:val="24"/>
                <w:szCs w:val="24"/>
              </w:rPr>
            </w:pPr>
            <w:proofErr w:type="spellStart"/>
            <w:r w:rsidRPr="00220C0E">
              <w:rPr>
                <w:rFonts w:cstheme="minorHAnsi"/>
                <w:sz w:val="24"/>
                <w:szCs w:val="24"/>
              </w:rPr>
              <w:t>oui</w:t>
            </w:r>
            <w:proofErr w:type="spellEnd"/>
          </w:p>
        </w:tc>
      </w:tr>
      <w:tr w:rsidR="00F93968" w:rsidRPr="00220C0E" w14:paraId="19A97141" w14:textId="77777777" w:rsidTr="00DC5CE7">
        <w:tc>
          <w:tcPr>
            <w:tcW w:w="1717" w:type="dxa"/>
          </w:tcPr>
          <w:p w14:paraId="71231325" w14:textId="77777777" w:rsidR="00F93968" w:rsidRPr="00220C0E" w:rsidRDefault="00F93968" w:rsidP="008A5BA9">
            <w:pPr>
              <w:jc w:val="center"/>
              <w:rPr>
                <w:rFonts w:cstheme="minorHAnsi"/>
                <w:sz w:val="24"/>
                <w:szCs w:val="24"/>
              </w:rPr>
            </w:pPr>
            <w:r w:rsidRPr="00220C0E">
              <w:rPr>
                <w:rFonts w:cstheme="minorHAnsi"/>
                <w:sz w:val="24"/>
                <w:szCs w:val="24"/>
              </w:rPr>
              <w:t>Cap Egmont PEI</w:t>
            </w:r>
          </w:p>
        </w:tc>
        <w:tc>
          <w:tcPr>
            <w:tcW w:w="1286" w:type="dxa"/>
          </w:tcPr>
          <w:p w14:paraId="69A25E09" w14:textId="3A764DE6" w:rsidR="00F93968" w:rsidRPr="00220C0E" w:rsidRDefault="00DF65DA" w:rsidP="00766BCA">
            <w:pPr>
              <w:jc w:val="center"/>
              <w:rPr>
                <w:rFonts w:cstheme="minorHAnsi"/>
                <w:sz w:val="24"/>
                <w:szCs w:val="24"/>
              </w:rPr>
            </w:pPr>
            <w:r>
              <w:rPr>
                <w:rFonts w:cstheme="minorHAnsi"/>
                <w:sz w:val="24"/>
                <w:szCs w:val="24"/>
              </w:rPr>
              <w:t xml:space="preserve">24 </w:t>
            </w:r>
            <w:proofErr w:type="spellStart"/>
            <w:r>
              <w:rPr>
                <w:rFonts w:cstheme="minorHAnsi"/>
                <w:sz w:val="24"/>
                <w:szCs w:val="24"/>
              </w:rPr>
              <w:t>juin</w:t>
            </w:r>
            <w:proofErr w:type="spellEnd"/>
          </w:p>
        </w:tc>
        <w:tc>
          <w:tcPr>
            <w:tcW w:w="1542" w:type="dxa"/>
          </w:tcPr>
          <w:p w14:paraId="14FE792E" w14:textId="77777777" w:rsidR="00F93968" w:rsidRPr="00220C0E" w:rsidRDefault="00F93968" w:rsidP="00766BCA">
            <w:pPr>
              <w:jc w:val="center"/>
              <w:rPr>
                <w:rFonts w:cstheme="minorHAnsi"/>
                <w:sz w:val="24"/>
                <w:szCs w:val="24"/>
              </w:rPr>
            </w:pPr>
            <w:r w:rsidRPr="00220C0E">
              <w:rPr>
                <w:rFonts w:cstheme="minorHAnsi"/>
                <w:sz w:val="24"/>
                <w:szCs w:val="24"/>
              </w:rPr>
              <w:t xml:space="preserve">19 </w:t>
            </w:r>
            <w:proofErr w:type="spellStart"/>
            <w:r w:rsidRPr="00220C0E">
              <w:rPr>
                <w:rFonts w:cstheme="minorHAnsi"/>
                <w:sz w:val="24"/>
                <w:szCs w:val="24"/>
              </w:rPr>
              <w:t>octobre</w:t>
            </w:r>
            <w:proofErr w:type="spellEnd"/>
          </w:p>
        </w:tc>
        <w:tc>
          <w:tcPr>
            <w:tcW w:w="1325" w:type="dxa"/>
          </w:tcPr>
          <w:p w14:paraId="017BA17F" w14:textId="31785D17" w:rsidR="00F93968" w:rsidRPr="00220C0E" w:rsidRDefault="00DF65DA" w:rsidP="00033FCF">
            <w:pPr>
              <w:jc w:val="center"/>
              <w:rPr>
                <w:rFonts w:cstheme="minorHAnsi"/>
                <w:sz w:val="24"/>
                <w:szCs w:val="24"/>
              </w:rPr>
            </w:pPr>
            <w:r>
              <w:rPr>
                <w:rFonts w:cstheme="minorHAnsi"/>
                <w:sz w:val="24"/>
                <w:szCs w:val="24"/>
              </w:rPr>
              <w:t>30</w:t>
            </w:r>
          </w:p>
        </w:tc>
        <w:tc>
          <w:tcPr>
            <w:tcW w:w="1325" w:type="dxa"/>
          </w:tcPr>
          <w:p w14:paraId="7EEF390F" w14:textId="3A9EEE60" w:rsidR="00F93968" w:rsidRPr="00220C0E" w:rsidRDefault="005C0B30" w:rsidP="00033FCF">
            <w:pPr>
              <w:jc w:val="center"/>
              <w:rPr>
                <w:rFonts w:cstheme="minorHAnsi"/>
                <w:sz w:val="24"/>
                <w:szCs w:val="24"/>
              </w:rPr>
            </w:pPr>
            <w:r>
              <w:rPr>
                <w:rFonts w:cstheme="minorHAnsi"/>
                <w:sz w:val="24"/>
                <w:szCs w:val="24"/>
              </w:rPr>
              <w:t>30</w:t>
            </w:r>
          </w:p>
        </w:tc>
        <w:tc>
          <w:tcPr>
            <w:tcW w:w="1325" w:type="dxa"/>
          </w:tcPr>
          <w:p w14:paraId="3A6CEFEF" w14:textId="7E2BACB7" w:rsidR="00F93968" w:rsidRPr="00220C0E" w:rsidRDefault="005C0B30" w:rsidP="00033FCF">
            <w:pPr>
              <w:jc w:val="center"/>
              <w:rPr>
                <w:rFonts w:cstheme="minorHAnsi"/>
                <w:sz w:val="24"/>
                <w:szCs w:val="24"/>
              </w:rPr>
            </w:pPr>
            <w:r>
              <w:rPr>
                <w:rFonts w:cstheme="minorHAnsi"/>
                <w:sz w:val="24"/>
                <w:szCs w:val="24"/>
              </w:rPr>
              <w:t>0</w:t>
            </w:r>
          </w:p>
        </w:tc>
        <w:tc>
          <w:tcPr>
            <w:tcW w:w="1642" w:type="dxa"/>
          </w:tcPr>
          <w:p w14:paraId="003D7008" w14:textId="1C9CE275" w:rsidR="00F93968" w:rsidRPr="00220C0E" w:rsidRDefault="005C0B30" w:rsidP="00033FCF">
            <w:pPr>
              <w:jc w:val="center"/>
              <w:rPr>
                <w:rFonts w:cstheme="minorHAnsi"/>
                <w:sz w:val="24"/>
                <w:szCs w:val="24"/>
              </w:rPr>
            </w:pPr>
            <w:r>
              <w:rPr>
                <w:rFonts w:cstheme="minorHAnsi"/>
                <w:sz w:val="24"/>
                <w:szCs w:val="24"/>
              </w:rPr>
              <w:t>30</w:t>
            </w:r>
          </w:p>
        </w:tc>
        <w:tc>
          <w:tcPr>
            <w:tcW w:w="1462" w:type="dxa"/>
          </w:tcPr>
          <w:p w14:paraId="4FFF8BF7" w14:textId="5C57AE2F" w:rsidR="00F93968" w:rsidRPr="00220C0E" w:rsidRDefault="001A1A2B" w:rsidP="00033FCF">
            <w:pPr>
              <w:jc w:val="center"/>
              <w:rPr>
                <w:rFonts w:cstheme="minorHAnsi"/>
                <w:sz w:val="24"/>
                <w:szCs w:val="24"/>
              </w:rPr>
            </w:pPr>
            <w:proofErr w:type="spellStart"/>
            <w:r>
              <w:rPr>
                <w:rFonts w:cstheme="minorHAnsi"/>
                <w:sz w:val="24"/>
                <w:szCs w:val="24"/>
              </w:rPr>
              <w:t>oui</w:t>
            </w:r>
            <w:proofErr w:type="spellEnd"/>
          </w:p>
        </w:tc>
      </w:tr>
      <w:tr w:rsidR="00F93968" w:rsidRPr="00220C0E" w14:paraId="20A47CA9" w14:textId="77777777" w:rsidTr="00DC5CE7">
        <w:tc>
          <w:tcPr>
            <w:tcW w:w="1717" w:type="dxa"/>
          </w:tcPr>
          <w:p w14:paraId="146A8968" w14:textId="77777777" w:rsidR="00F93968" w:rsidRPr="00220C0E" w:rsidRDefault="00F93968" w:rsidP="00033FCF">
            <w:pPr>
              <w:jc w:val="center"/>
              <w:rPr>
                <w:rFonts w:cstheme="minorHAnsi"/>
                <w:sz w:val="24"/>
                <w:szCs w:val="24"/>
              </w:rPr>
            </w:pPr>
            <w:proofErr w:type="spellStart"/>
            <w:r w:rsidRPr="00220C0E">
              <w:rPr>
                <w:rFonts w:cstheme="minorHAnsi"/>
                <w:sz w:val="24"/>
                <w:szCs w:val="24"/>
              </w:rPr>
              <w:t>Covehead</w:t>
            </w:r>
            <w:proofErr w:type="spellEnd"/>
            <w:r w:rsidRPr="00220C0E">
              <w:rPr>
                <w:rFonts w:cstheme="minorHAnsi"/>
                <w:sz w:val="24"/>
                <w:szCs w:val="24"/>
              </w:rPr>
              <w:t xml:space="preserve"> PEI</w:t>
            </w:r>
          </w:p>
        </w:tc>
        <w:tc>
          <w:tcPr>
            <w:tcW w:w="1286" w:type="dxa"/>
          </w:tcPr>
          <w:p w14:paraId="56261680" w14:textId="36CA4607" w:rsidR="00F93968" w:rsidRPr="00220C0E" w:rsidRDefault="00280A19" w:rsidP="00033FCF">
            <w:pPr>
              <w:jc w:val="center"/>
              <w:rPr>
                <w:rFonts w:cstheme="minorHAnsi"/>
                <w:sz w:val="24"/>
                <w:szCs w:val="24"/>
              </w:rPr>
            </w:pPr>
            <w:r>
              <w:rPr>
                <w:rFonts w:cstheme="minorHAnsi"/>
                <w:sz w:val="24"/>
                <w:szCs w:val="24"/>
              </w:rPr>
              <w:t xml:space="preserve">13 </w:t>
            </w:r>
            <w:proofErr w:type="spellStart"/>
            <w:r>
              <w:rPr>
                <w:rFonts w:cstheme="minorHAnsi"/>
                <w:sz w:val="24"/>
                <w:szCs w:val="24"/>
              </w:rPr>
              <w:t>juillet</w:t>
            </w:r>
            <w:proofErr w:type="spellEnd"/>
          </w:p>
        </w:tc>
        <w:tc>
          <w:tcPr>
            <w:tcW w:w="1542" w:type="dxa"/>
          </w:tcPr>
          <w:p w14:paraId="0E39FD6D" w14:textId="77777777" w:rsidR="00F93968" w:rsidRPr="00220C0E" w:rsidRDefault="00F93968" w:rsidP="00033FCF">
            <w:pPr>
              <w:jc w:val="center"/>
              <w:rPr>
                <w:rFonts w:cstheme="minorHAnsi"/>
                <w:sz w:val="24"/>
                <w:szCs w:val="24"/>
              </w:rPr>
            </w:pPr>
            <w:r w:rsidRPr="00220C0E">
              <w:rPr>
                <w:rFonts w:cstheme="minorHAnsi"/>
                <w:sz w:val="24"/>
                <w:szCs w:val="24"/>
              </w:rPr>
              <w:t xml:space="preserve">2 </w:t>
            </w:r>
            <w:proofErr w:type="spellStart"/>
            <w:r w:rsidRPr="00220C0E">
              <w:rPr>
                <w:rFonts w:cstheme="minorHAnsi"/>
                <w:sz w:val="24"/>
                <w:szCs w:val="24"/>
              </w:rPr>
              <w:t>octobre</w:t>
            </w:r>
            <w:proofErr w:type="spellEnd"/>
            <w:r w:rsidRPr="00220C0E">
              <w:rPr>
                <w:rFonts w:cstheme="minorHAnsi"/>
                <w:sz w:val="24"/>
                <w:szCs w:val="24"/>
              </w:rPr>
              <w:t xml:space="preserve"> </w:t>
            </w:r>
          </w:p>
        </w:tc>
        <w:tc>
          <w:tcPr>
            <w:tcW w:w="1325" w:type="dxa"/>
          </w:tcPr>
          <w:p w14:paraId="61BBF8AA" w14:textId="129A52FC" w:rsidR="00F93968" w:rsidRPr="00220C0E" w:rsidRDefault="00280A19" w:rsidP="00033FCF">
            <w:pPr>
              <w:jc w:val="center"/>
              <w:rPr>
                <w:rFonts w:cstheme="minorHAnsi"/>
                <w:sz w:val="24"/>
                <w:szCs w:val="24"/>
              </w:rPr>
            </w:pPr>
            <w:r>
              <w:rPr>
                <w:rFonts w:cstheme="minorHAnsi"/>
                <w:sz w:val="24"/>
                <w:szCs w:val="24"/>
              </w:rPr>
              <w:t>30</w:t>
            </w:r>
          </w:p>
        </w:tc>
        <w:tc>
          <w:tcPr>
            <w:tcW w:w="1325" w:type="dxa"/>
          </w:tcPr>
          <w:p w14:paraId="033F8933" w14:textId="33E93C06" w:rsidR="00F93968" w:rsidRPr="00220C0E" w:rsidRDefault="00280A19" w:rsidP="00033FCF">
            <w:pPr>
              <w:jc w:val="center"/>
              <w:rPr>
                <w:rFonts w:cstheme="minorHAnsi"/>
                <w:sz w:val="24"/>
                <w:szCs w:val="24"/>
              </w:rPr>
            </w:pPr>
            <w:r>
              <w:rPr>
                <w:rFonts w:cstheme="minorHAnsi"/>
                <w:sz w:val="24"/>
                <w:szCs w:val="24"/>
              </w:rPr>
              <w:t>29</w:t>
            </w:r>
          </w:p>
        </w:tc>
        <w:tc>
          <w:tcPr>
            <w:tcW w:w="1325" w:type="dxa"/>
          </w:tcPr>
          <w:p w14:paraId="377F0B2C" w14:textId="57E25571" w:rsidR="00F93968" w:rsidRPr="00220C0E" w:rsidRDefault="00280A19" w:rsidP="00033FCF">
            <w:pPr>
              <w:jc w:val="center"/>
              <w:rPr>
                <w:rFonts w:cstheme="minorHAnsi"/>
                <w:sz w:val="24"/>
                <w:szCs w:val="24"/>
              </w:rPr>
            </w:pPr>
            <w:r>
              <w:rPr>
                <w:rFonts w:cstheme="minorHAnsi"/>
                <w:sz w:val="24"/>
                <w:szCs w:val="24"/>
              </w:rPr>
              <w:t>1</w:t>
            </w:r>
          </w:p>
        </w:tc>
        <w:tc>
          <w:tcPr>
            <w:tcW w:w="1642" w:type="dxa"/>
          </w:tcPr>
          <w:p w14:paraId="1FDC5FD2" w14:textId="681A5F7C" w:rsidR="00F93968" w:rsidRPr="00220C0E" w:rsidRDefault="00280A19" w:rsidP="00033FCF">
            <w:pPr>
              <w:jc w:val="center"/>
              <w:rPr>
                <w:rFonts w:cstheme="minorHAnsi"/>
                <w:sz w:val="24"/>
                <w:szCs w:val="24"/>
              </w:rPr>
            </w:pPr>
            <w:r>
              <w:rPr>
                <w:rFonts w:cstheme="minorHAnsi"/>
                <w:sz w:val="24"/>
                <w:szCs w:val="24"/>
              </w:rPr>
              <w:t>29</w:t>
            </w:r>
          </w:p>
        </w:tc>
        <w:tc>
          <w:tcPr>
            <w:tcW w:w="1462" w:type="dxa"/>
          </w:tcPr>
          <w:p w14:paraId="6454B4AF" w14:textId="77777777" w:rsidR="00F93968" w:rsidRPr="00220C0E" w:rsidRDefault="00F93968" w:rsidP="00033FCF">
            <w:pPr>
              <w:jc w:val="center"/>
              <w:rPr>
                <w:rFonts w:cstheme="minorHAnsi"/>
                <w:sz w:val="24"/>
                <w:szCs w:val="24"/>
              </w:rPr>
            </w:pPr>
            <w:proofErr w:type="spellStart"/>
            <w:r w:rsidRPr="00220C0E">
              <w:rPr>
                <w:rFonts w:cstheme="minorHAnsi"/>
                <w:sz w:val="24"/>
                <w:szCs w:val="24"/>
              </w:rPr>
              <w:t>oui</w:t>
            </w:r>
            <w:proofErr w:type="spellEnd"/>
          </w:p>
        </w:tc>
      </w:tr>
      <w:tr w:rsidR="00F93968" w:rsidRPr="00220C0E" w14:paraId="5E7B7CC9" w14:textId="77777777" w:rsidTr="00DC5CE7">
        <w:tc>
          <w:tcPr>
            <w:tcW w:w="1717" w:type="dxa"/>
          </w:tcPr>
          <w:p w14:paraId="614F2620" w14:textId="77777777" w:rsidR="00F93968" w:rsidRPr="00220C0E" w:rsidRDefault="00F93968" w:rsidP="00033FCF">
            <w:pPr>
              <w:jc w:val="center"/>
              <w:rPr>
                <w:rFonts w:cstheme="minorHAnsi"/>
                <w:sz w:val="24"/>
                <w:szCs w:val="24"/>
              </w:rPr>
            </w:pPr>
            <w:r w:rsidRPr="00220C0E">
              <w:rPr>
                <w:rFonts w:cstheme="minorHAnsi"/>
                <w:sz w:val="24"/>
                <w:szCs w:val="24"/>
              </w:rPr>
              <w:t>Fortune 9M</w:t>
            </w:r>
          </w:p>
        </w:tc>
        <w:tc>
          <w:tcPr>
            <w:tcW w:w="1286" w:type="dxa"/>
          </w:tcPr>
          <w:p w14:paraId="34768573" w14:textId="51CD53FD" w:rsidR="00F93968" w:rsidRPr="00220C0E" w:rsidRDefault="00DC5CE7" w:rsidP="00033FCF">
            <w:pPr>
              <w:jc w:val="center"/>
              <w:rPr>
                <w:rFonts w:cstheme="minorHAnsi"/>
                <w:sz w:val="24"/>
                <w:szCs w:val="24"/>
              </w:rPr>
            </w:pPr>
            <w:r>
              <w:rPr>
                <w:rFonts w:cstheme="minorHAnsi"/>
                <w:sz w:val="24"/>
                <w:szCs w:val="24"/>
              </w:rPr>
              <w:t xml:space="preserve">6 </w:t>
            </w:r>
            <w:proofErr w:type="spellStart"/>
            <w:r>
              <w:rPr>
                <w:rFonts w:cstheme="minorHAnsi"/>
                <w:sz w:val="24"/>
                <w:szCs w:val="24"/>
              </w:rPr>
              <w:t>juillet</w:t>
            </w:r>
            <w:proofErr w:type="spellEnd"/>
          </w:p>
        </w:tc>
        <w:tc>
          <w:tcPr>
            <w:tcW w:w="1542" w:type="dxa"/>
          </w:tcPr>
          <w:p w14:paraId="41EA4EDD" w14:textId="77777777" w:rsidR="00F93968" w:rsidRPr="00220C0E" w:rsidRDefault="00F93968" w:rsidP="00033FCF">
            <w:pPr>
              <w:jc w:val="center"/>
              <w:rPr>
                <w:rFonts w:cstheme="minorHAnsi"/>
                <w:sz w:val="24"/>
                <w:szCs w:val="24"/>
              </w:rPr>
            </w:pPr>
            <w:r w:rsidRPr="00220C0E">
              <w:rPr>
                <w:rFonts w:cstheme="minorHAnsi"/>
                <w:sz w:val="24"/>
                <w:szCs w:val="24"/>
              </w:rPr>
              <w:t xml:space="preserve">21 </w:t>
            </w:r>
            <w:proofErr w:type="spellStart"/>
            <w:r w:rsidRPr="00220C0E">
              <w:rPr>
                <w:rFonts w:cstheme="minorHAnsi"/>
                <w:sz w:val="24"/>
                <w:szCs w:val="24"/>
              </w:rPr>
              <w:t>septembre</w:t>
            </w:r>
            <w:proofErr w:type="spellEnd"/>
            <w:r w:rsidRPr="00220C0E">
              <w:rPr>
                <w:rFonts w:cstheme="minorHAnsi"/>
                <w:sz w:val="24"/>
                <w:szCs w:val="24"/>
              </w:rPr>
              <w:t xml:space="preserve"> </w:t>
            </w:r>
          </w:p>
        </w:tc>
        <w:tc>
          <w:tcPr>
            <w:tcW w:w="1325" w:type="dxa"/>
          </w:tcPr>
          <w:p w14:paraId="54E05611" w14:textId="3DDF25D3" w:rsidR="00F93968" w:rsidRPr="00220C0E" w:rsidRDefault="00DC5CE7" w:rsidP="00033FCF">
            <w:pPr>
              <w:jc w:val="center"/>
              <w:rPr>
                <w:rFonts w:cstheme="minorHAnsi"/>
                <w:sz w:val="24"/>
                <w:szCs w:val="24"/>
              </w:rPr>
            </w:pPr>
            <w:r>
              <w:rPr>
                <w:rFonts w:cstheme="minorHAnsi"/>
                <w:sz w:val="24"/>
                <w:szCs w:val="24"/>
              </w:rPr>
              <w:t>30</w:t>
            </w:r>
          </w:p>
        </w:tc>
        <w:tc>
          <w:tcPr>
            <w:tcW w:w="1325" w:type="dxa"/>
          </w:tcPr>
          <w:p w14:paraId="3D52A597" w14:textId="555F524C" w:rsidR="00F93968" w:rsidRPr="00220C0E" w:rsidRDefault="009A0ABA" w:rsidP="00033FCF">
            <w:pPr>
              <w:jc w:val="center"/>
              <w:rPr>
                <w:rFonts w:cstheme="minorHAnsi"/>
                <w:sz w:val="24"/>
                <w:szCs w:val="24"/>
              </w:rPr>
            </w:pPr>
            <w:r>
              <w:rPr>
                <w:rFonts w:cstheme="minorHAnsi"/>
                <w:sz w:val="24"/>
                <w:szCs w:val="24"/>
              </w:rPr>
              <w:t>30</w:t>
            </w:r>
          </w:p>
        </w:tc>
        <w:tc>
          <w:tcPr>
            <w:tcW w:w="1325" w:type="dxa"/>
          </w:tcPr>
          <w:p w14:paraId="26A75C69" w14:textId="205EA3D5" w:rsidR="00F93968" w:rsidRPr="00220C0E" w:rsidRDefault="009A0ABA" w:rsidP="00033FCF">
            <w:pPr>
              <w:jc w:val="center"/>
              <w:rPr>
                <w:rFonts w:cstheme="minorHAnsi"/>
                <w:sz w:val="24"/>
                <w:szCs w:val="24"/>
              </w:rPr>
            </w:pPr>
            <w:r>
              <w:rPr>
                <w:rFonts w:cstheme="minorHAnsi"/>
                <w:sz w:val="24"/>
                <w:szCs w:val="24"/>
              </w:rPr>
              <w:t>0</w:t>
            </w:r>
          </w:p>
        </w:tc>
        <w:tc>
          <w:tcPr>
            <w:tcW w:w="1642" w:type="dxa"/>
          </w:tcPr>
          <w:p w14:paraId="7D90F7B7" w14:textId="2DE4A01D" w:rsidR="00F93968" w:rsidRPr="00220C0E" w:rsidRDefault="009A0ABA" w:rsidP="00033FCF">
            <w:pPr>
              <w:jc w:val="center"/>
              <w:rPr>
                <w:rFonts w:cstheme="minorHAnsi"/>
                <w:sz w:val="24"/>
                <w:szCs w:val="24"/>
              </w:rPr>
            </w:pPr>
            <w:r>
              <w:rPr>
                <w:rFonts w:cstheme="minorHAnsi"/>
                <w:sz w:val="24"/>
                <w:szCs w:val="24"/>
              </w:rPr>
              <w:t>30</w:t>
            </w:r>
          </w:p>
        </w:tc>
        <w:tc>
          <w:tcPr>
            <w:tcW w:w="1462" w:type="dxa"/>
          </w:tcPr>
          <w:p w14:paraId="3D7C23F0" w14:textId="77777777" w:rsidR="00F93968" w:rsidRPr="00220C0E" w:rsidRDefault="00F93968" w:rsidP="00033FCF">
            <w:pPr>
              <w:jc w:val="center"/>
              <w:rPr>
                <w:rFonts w:cstheme="minorHAnsi"/>
                <w:sz w:val="24"/>
                <w:szCs w:val="24"/>
              </w:rPr>
            </w:pPr>
            <w:proofErr w:type="spellStart"/>
            <w:r w:rsidRPr="00220C0E">
              <w:rPr>
                <w:rFonts w:cstheme="minorHAnsi"/>
                <w:sz w:val="24"/>
                <w:szCs w:val="24"/>
              </w:rPr>
              <w:t>oui</w:t>
            </w:r>
            <w:proofErr w:type="spellEnd"/>
          </w:p>
        </w:tc>
      </w:tr>
      <w:tr w:rsidR="00F93968" w:rsidRPr="00220C0E" w14:paraId="12F718C9" w14:textId="77777777" w:rsidTr="00DC5CE7">
        <w:tc>
          <w:tcPr>
            <w:tcW w:w="1717" w:type="dxa"/>
          </w:tcPr>
          <w:p w14:paraId="426F199D" w14:textId="77777777" w:rsidR="00F93968" w:rsidRPr="00220C0E" w:rsidRDefault="00F93968" w:rsidP="008A5BA9">
            <w:pPr>
              <w:jc w:val="center"/>
              <w:rPr>
                <w:rFonts w:cstheme="minorHAnsi"/>
                <w:sz w:val="24"/>
                <w:szCs w:val="24"/>
              </w:rPr>
            </w:pPr>
            <w:r w:rsidRPr="00220C0E">
              <w:rPr>
                <w:rFonts w:cstheme="minorHAnsi"/>
                <w:sz w:val="24"/>
                <w:szCs w:val="24"/>
              </w:rPr>
              <w:t>Fortune 21M</w:t>
            </w:r>
          </w:p>
        </w:tc>
        <w:tc>
          <w:tcPr>
            <w:tcW w:w="1286" w:type="dxa"/>
          </w:tcPr>
          <w:p w14:paraId="3B3679C5" w14:textId="4E4F0BDB" w:rsidR="00F93968" w:rsidRPr="00220C0E" w:rsidRDefault="00DC5CE7" w:rsidP="00766BCA">
            <w:pPr>
              <w:jc w:val="center"/>
              <w:rPr>
                <w:rFonts w:cstheme="minorHAnsi"/>
                <w:sz w:val="24"/>
                <w:szCs w:val="24"/>
              </w:rPr>
            </w:pPr>
            <w:r>
              <w:rPr>
                <w:rFonts w:cstheme="minorHAnsi"/>
                <w:sz w:val="24"/>
                <w:szCs w:val="24"/>
              </w:rPr>
              <w:t xml:space="preserve">6 </w:t>
            </w:r>
            <w:proofErr w:type="spellStart"/>
            <w:r>
              <w:rPr>
                <w:rFonts w:cstheme="minorHAnsi"/>
                <w:sz w:val="24"/>
                <w:szCs w:val="24"/>
              </w:rPr>
              <w:t>juillet</w:t>
            </w:r>
            <w:proofErr w:type="spellEnd"/>
            <w:r>
              <w:rPr>
                <w:rFonts w:cstheme="minorHAnsi"/>
                <w:sz w:val="24"/>
                <w:szCs w:val="24"/>
              </w:rPr>
              <w:t xml:space="preserve"> </w:t>
            </w:r>
          </w:p>
        </w:tc>
        <w:tc>
          <w:tcPr>
            <w:tcW w:w="1542" w:type="dxa"/>
          </w:tcPr>
          <w:p w14:paraId="33EA5D53" w14:textId="77777777" w:rsidR="00F93968" w:rsidRPr="00220C0E" w:rsidRDefault="00F93968" w:rsidP="00766BCA">
            <w:pPr>
              <w:jc w:val="center"/>
              <w:rPr>
                <w:rFonts w:cstheme="minorHAnsi"/>
                <w:sz w:val="24"/>
                <w:szCs w:val="24"/>
              </w:rPr>
            </w:pPr>
            <w:r w:rsidRPr="00220C0E">
              <w:rPr>
                <w:rFonts w:cstheme="minorHAnsi"/>
                <w:sz w:val="24"/>
                <w:szCs w:val="24"/>
              </w:rPr>
              <w:t xml:space="preserve">21 </w:t>
            </w:r>
            <w:proofErr w:type="spellStart"/>
            <w:r w:rsidRPr="00220C0E">
              <w:rPr>
                <w:rFonts w:cstheme="minorHAnsi"/>
                <w:sz w:val="24"/>
                <w:szCs w:val="24"/>
              </w:rPr>
              <w:t>septembre</w:t>
            </w:r>
            <w:proofErr w:type="spellEnd"/>
          </w:p>
        </w:tc>
        <w:tc>
          <w:tcPr>
            <w:tcW w:w="1325" w:type="dxa"/>
          </w:tcPr>
          <w:p w14:paraId="410AFC10" w14:textId="34BAEE5D" w:rsidR="00F93968" w:rsidRPr="00220C0E" w:rsidRDefault="00DC5CE7" w:rsidP="00033FCF">
            <w:pPr>
              <w:jc w:val="center"/>
              <w:rPr>
                <w:rFonts w:cstheme="minorHAnsi"/>
                <w:sz w:val="24"/>
                <w:szCs w:val="24"/>
              </w:rPr>
            </w:pPr>
            <w:r>
              <w:rPr>
                <w:rFonts w:cstheme="minorHAnsi"/>
                <w:sz w:val="24"/>
                <w:szCs w:val="24"/>
              </w:rPr>
              <w:t>5</w:t>
            </w:r>
          </w:p>
        </w:tc>
        <w:tc>
          <w:tcPr>
            <w:tcW w:w="1325" w:type="dxa"/>
          </w:tcPr>
          <w:p w14:paraId="5D74D384" w14:textId="44E500DB" w:rsidR="00F93968" w:rsidRPr="00220C0E" w:rsidRDefault="009A0ABA" w:rsidP="00033FCF">
            <w:pPr>
              <w:jc w:val="center"/>
              <w:rPr>
                <w:rFonts w:cstheme="minorHAnsi"/>
                <w:sz w:val="24"/>
                <w:szCs w:val="24"/>
              </w:rPr>
            </w:pPr>
            <w:r>
              <w:rPr>
                <w:rFonts w:cstheme="minorHAnsi"/>
                <w:sz w:val="24"/>
                <w:szCs w:val="24"/>
              </w:rPr>
              <w:t>5</w:t>
            </w:r>
          </w:p>
        </w:tc>
        <w:tc>
          <w:tcPr>
            <w:tcW w:w="1325" w:type="dxa"/>
          </w:tcPr>
          <w:p w14:paraId="65E369C2" w14:textId="69BFE6C9" w:rsidR="00F93968" w:rsidRPr="00220C0E" w:rsidRDefault="009A0ABA" w:rsidP="00033FCF">
            <w:pPr>
              <w:jc w:val="center"/>
              <w:rPr>
                <w:rFonts w:cstheme="minorHAnsi"/>
                <w:sz w:val="24"/>
                <w:szCs w:val="24"/>
              </w:rPr>
            </w:pPr>
            <w:r>
              <w:rPr>
                <w:rFonts w:cstheme="minorHAnsi"/>
                <w:sz w:val="24"/>
                <w:szCs w:val="24"/>
              </w:rPr>
              <w:t>0</w:t>
            </w:r>
          </w:p>
        </w:tc>
        <w:tc>
          <w:tcPr>
            <w:tcW w:w="1642" w:type="dxa"/>
          </w:tcPr>
          <w:p w14:paraId="605D2C83" w14:textId="36DF4EB5" w:rsidR="00F93968" w:rsidRPr="00220C0E" w:rsidRDefault="009A0ABA" w:rsidP="00033FCF">
            <w:pPr>
              <w:jc w:val="center"/>
              <w:rPr>
                <w:rFonts w:cstheme="minorHAnsi"/>
                <w:sz w:val="24"/>
                <w:szCs w:val="24"/>
              </w:rPr>
            </w:pPr>
            <w:r>
              <w:rPr>
                <w:rFonts w:cstheme="minorHAnsi"/>
                <w:sz w:val="24"/>
                <w:szCs w:val="24"/>
              </w:rPr>
              <w:t>5</w:t>
            </w:r>
          </w:p>
        </w:tc>
        <w:tc>
          <w:tcPr>
            <w:tcW w:w="1462" w:type="dxa"/>
          </w:tcPr>
          <w:p w14:paraId="71819326" w14:textId="77777777" w:rsidR="00F93968" w:rsidRPr="00220C0E" w:rsidRDefault="00F93968" w:rsidP="00033FCF">
            <w:pPr>
              <w:jc w:val="center"/>
              <w:rPr>
                <w:rFonts w:cstheme="minorHAnsi"/>
                <w:sz w:val="24"/>
                <w:szCs w:val="24"/>
              </w:rPr>
            </w:pPr>
            <w:proofErr w:type="spellStart"/>
            <w:r w:rsidRPr="00220C0E">
              <w:rPr>
                <w:rFonts w:cstheme="minorHAnsi"/>
                <w:sz w:val="24"/>
                <w:szCs w:val="24"/>
              </w:rPr>
              <w:t>oui</w:t>
            </w:r>
            <w:proofErr w:type="spellEnd"/>
          </w:p>
        </w:tc>
      </w:tr>
      <w:tr w:rsidR="00DC5CE7" w:rsidRPr="00220C0E" w14:paraId="02A4351A" w14:textId="77777777" w:rsidTr="00DC5CE7">
        <w:tc>
          <w:tcPr>
            <w:tcW w:w="1717" w:type="dxa"/>
          </w:tcPr>
          <w:p w14:paraId="2C7E93CA" w14:textId="77777777" w:rsidR="00DC5CE7" w:rsidRPr="00220C0E" w:rsidRDefault="00DC5CE7" w:rsidP="00DC5CE7">
            <w:pPr>
              <w:jc w:val="center"/>
              <w:rPr>
                <w:rFonts w:cstheme="minorHAnsi"/>
                <w:sz w:val="24"/>
                <w:szCs w:val="24"/>
              </w:rPr>
            </w:pPr>
            <w:r w:rsidRPr="00220C0E">
              <w:rPr>
                <w:rFonts w:cstheme="minorHAnsi"/>
                <w:sz w:val="24"/>
                <w:szCs w:val="24"/>
              </w:rPr>
              <w:t>Nine Miles Creek PEI 8M</w:t>
            </w:r>
          </w:p>
        </w:tc>
        <w:tc>
          <w:tcPr>
            <w:tcW w:w="1286" w:type="dxa"/>
          </w:tcPr>
          <w:p w14:paraId="0EF86BC7" w14:textId="0286801B" w:rsidR="00DC5CE7" w:rsidRPr="00220C0E" w:rsidRDefault="00DC5CE7" w:rsidP="00DC5CE7">
            <w:pPr>
              <w:jc w:val="center"/>
              <w:rPr>
                <w:rFonts w:cstheme="minorHAnsi"/>
                <w:sz w:val="24"/>
                <w:szCs w:val="24"/>
              </w:rPr>
            </w:pPr>
            <w:r>
              <w:rPr>
                <w:rFonts w:cstheme="minorHAnsi"/>
                <w:sz w:val="24"/>
                <w:szCs w:val="24"/>
              </w:rPr>
              <w:t xml:space="preserve">7 </w:t>
            </w:r>
            <w:proofErr w:type="spellStart"/>
            <w:r>
              <w:rPr>
                <w:rFonts w:cstheme="minorHAnsi"/>
                <w:sz w:val="24"/>
                <w:szCs w:val="24"/>
              </w:rPr>
              <w:t>juillet</w:t>
            </w:r>
            <w:proofErr w:type="spellEnd"/>
          </w:p>
        </w:tc>
        <w:tc>
          <w:tcPr>
            <w:tcW w:w="1542" w:type="dxa"/>
          </w:tcPr>
          <w:p w14:paraId="6B4B5807" w14:textId="77777777" w:rsidR="00DC5CE7" w:rsidRPr="00220C0E" w:rsidRDefault="00DC5CE7" w:rsidP="00DC5CE7">
            <w:pPr>
              <w:jc w:val="center"/>
              <w:rPr>
                <w:rFonts w:cstheme="minorHAnsi"/>
                <w:sz w:val="24"/>
                <w:szCs w:val="24"/>
              </w:rPr>
            </w:pPr>
            <w:r w:rsidRPr="00220C0E">
              <w:rPr>
                <w:rFonts w:cstheme="minorHAnsi"/>
                <w:sz w:val="24"/>
                <w:szCs w:val="24"/>
              </w:rPr>
              <w:t xml:space="preserve">5 </w:t>
            </w:r>
            <w:proofErr w:type="spellStart"/>
            <w:r w:rsidRPr="00220C0E">
              <w:rPr>
                <w:rFonts w:cstheme="minorHAnsi"/>
                <w:sz w:val="24"/>
                <w:szCs w:val="24"/>
              </w:rPr>
              <w:t>octobre</w:t>
            </w:r>
            <w:proofErr w:type="spellEnd"/>
          </w:p>
        </w:tc>
        <w:tc>
          <w:tcPr>
            <w:tcW w:w="1325" w:type="dxa"/>
          </w:tcPr>
          <w:p w14:paraId="447D0139" w14:textId="52217B07" w:rsidR="00DC5CE7" w:rsidRPr="00220C0E" w:rsidRDefault="00DC5CE7" w:rsidP="00DC5CE7">
            <w:pPr>
              <w:jc w:val="center"/>
              <w:rPr>
                <w:rFonts w:cstheme="minorHAnsi"/>
                <w:sz w:val="24"/>
                <w:szCs w:val="24"/>
              </w:rPr>
            </w:pPr>
            <w:r>
              <w:rPr>
                <w:rFonts w:cstheme="minorHAnsi"/>
                <w:sz w:val="24"/>
                <w:szCs w:val="24"/>
              </w:rPr>
              <w:t>30</w:t>
            </w:r>
          </w:p>
        </w:tc>
        <w:tc>
          <w:tcPr>
            <w:tcW w:w="1325" w:type="dxa"/>
          </w:tcPr>
          <w:p w14:paraId="006CF92B" w14:textId="58F0225E" w:rsidR="002A4AA6" w:rsidRDefault="002A4AA6" w:rsidP="002A4AA6">
            <w:pPr>
              <w:jc w:val="center"/>
              <w:rPr>
                <w:rFonts w:cstheme="minorHAnsi"/>
                <w:sz w:val="24"/>
                <w:szCs w:val="24"/>
              </w:rPr>
            </w:pPr>
            <w:r>
              <w:rPr>
                <w:rFonts w:cstheme="minorHAnsi"/>
                <w:sz w:val="24"/>
                <w:szCs w:val="24"/>
              </w:rPr>
              <w:t>30</w:t>
            </w:r>
          </w:p>
          <w:p w14:paraId="0AA4CB24" w14:textId="535509FC" w:rsidR="002A4AA6" w:rsidRPr="00220C0E" w:rsidRDefault="002A4AA6" w:rsidP="00DC5CE7">
            <w:pPr>
              <w:jc w:val="center"/>
              <w:rPr>
                <w:rFonts w:cstheme="minorHAnsi"/>
                <w:sz w:val="24"/>
                <w:szCs w:val="24"/>
              </w:rPr>
            </w:pPr>
          </w:p>
        </w:tc>
        <w:tc>
          <w:tcPr>
            <w:tcW w:w="1325" w:type="dxa"/>
          </w:tcPr>
          <w:p w14:paraId="6F11D8FA" w14:textId="6EEC42A6" w:rsidR="00DC5CE7" w:rsidRPr="00220C0E" w:rsidRDefault="002A4AA6" w:rsidP="00DC5CE7">
            <w:pPr>
              <w:jc w:val="center"/>
              <w:rPr>
                <w:rFonts w:cstheme="minorHAnsi"/>
                <w:sz w:val="24"/>
                <w:szCs w:val="24"/>
              </w:rPr>
            </w:pPr>
            <w:r>
              <w:rPr>
                <w:rFonts w:cstheme="minorHAnsi"/>
                <w:sz w:val="24"/>
                <w:szCs w:val="24"/>
              </w:rPr>
              <w:t>0</w:t>
            </w:r>
          </w:p>
        </w:tc>
        <w:tc>
          <w:tcPr>
            <w:tcW w:w="1642" w:type="dxa"/>
          </w:tcPr>
          <w:p w14:paraId="1ABDD1CE" w14:textId="2F3DEB4B" w:rsidR="00DC5CE7" w:rsidRPr="00220C0E" w:rsidRDefault="002A4AA6" w:rsidP="00DC5CE7">
            <w:pPr>
              <w:jc w:val="center"/>
              <w:rPr>
                <w:rFonts w:cstheme="minorHAnsi"/>
                <w:sz w:val="24"/>
                <w:szCs w:val="24"/>
              </w:rPr>
            </w:pPr>
            <w:r>
              <w:rPr>
                <w:rFonts w:cstheme="minorHAnsi"/>
                <w:sz w:val="24"/>
                <w:szCs w:val="24"/>
              </w:rPr>
              <w:t>30</w:t>
            </w:r>
          </w:p>
        </w:tc>
        <w:tc>
          <w:tcPr>
            <w:tcW w:w="1462" w:type="dxa"/>
          </w:tcPr>
          <w:p w14:paraId="7F267D5C" w14:textId="77777777" w:rsidR="00DC5CE7" w:rsidRPr="00220C0E" w:rsidRDefault="00DC5CE7" w:rsidP="00DC5CE7">
            <w:pPr>
              <w:jc w:val="center"/>
              <w:rPr>
                <w:rFonts w:cstheme="minorHAnsi"/>
                <w:sz w:val="24"/>
                <w:szCs w:val="24"/>
              </w:rPr>
            </w:pPr>
            <w:proofErr w:type="spellStart"/>
            <w:r w:rsidRPr="00220C0E">
              <w:rPr>
                <w:rFonts w:cstheme="minorHAnsi"/>
                <w:sz w:val="24"/>
                <w:szCs w:val="24"/>
              </w:rPr>
              <w:t>oui</w:t>
            </w:r>
            <w:proofErr w:type="spellEnd"/>
          </w:p>
        </w:tc>
      </w:tr>
      <w:tr w:rsidR="00DC5CE7" w:rsidRPr="00220C0E" w14:paraId="4C164BB7" w14:textId="77777777" w:rsidTr="00DC5CE7">
        <w:tc>
          <w:tcPr>
            <w:tcW w:w="1717" w:type="dxa"/>
          </w:tcPr>
          <w:p w14:paraId="7095D187" w14:textId="77777777" w:rsidR="00DC5CE7" w:rsidRPr="00220C0E" w:rsidRDefault="00DC5CE7" w:rsidP="00DC5CE7">
            <w:pPr>
              <w:jc w:val="center"/>
              <w:rPr>
                <w:rFonts w:cstheme="minorHAnsi"/>
                <w:sz w:val="24"/>
                <w:szCs w:val="24"/>
              </w:rPr>
            </w:pPr>
            <w:r w:rsidRPr="00220C0E">
              <w:rPr>
                <w:rFonts w:cstheme="minorHAnsi"/>
                <w:sz w:val="24"/>
                <w:szCs w:val="24"/>
              </w:rPr>
              <w:t>Nine Miles Creek PEI</w:t>
            </w:r>
          </w:p>
        </w:tc>
        <w:tc>
          <w:tcPr>
            <w:tcW w:w="1286" w:type="dxa"/>
          </w:tcPr>
          <w:p w14:paraId="3E9412E5" w14:textId="7CED311F" w:rsidR="00DC5CE7" w:rsidRPr="00220C0E" w:rsidRDefault="00DC5CE7" w:rsidP="00DC5CE7">
            <w:pPr>
              <w:jc w:val="center"/>
              <w:rPr>
                <w:rFonts w:cstheme="minorHAnsi"/>
                <w:sz w:val="24"/>
                <w:szCs w:val="24"/>
              </w:rPr>
            </w:pPr>
            <w:r>
              <w:rPr>
                <w:rFonts w:cstheme="minorHAnsi"/>
                <w:sz w:val="24"/>
                <w:szCs w:val="24"/>
              </w:rPr>
              <w:t xml:space="preserve">7 </w:t>
            </w:r>
            <w:proofErr w:type="spellStart"/>
            <w:r>
              <w:rPr>
                <w:rFonts w:cstheme="minorHAnsi"/>
                <w:sz w:val="24"/>
                <w:szCs w:val="24"/>
              </w:rPr>
              <w:t>juillet</w:t>
            </w:r>
            <w:proofErr w:type="spellEnd"/>
            <w:r>
              <w:rPr>
                <w:rFonts w:cstheme="minorHAnsi"/>
                <w:sz w:val="24"/>
                <w:szCs w:val="24"/>
              </w:rPr>
              <w:t xml:space="preserve"> </w:t>
            </w:r>
          </w:p>
        </w:tc>
        <w:tc>
          <w:tcPr>
            <w:tcW w:w="1542" w:type="dxa"/>
          </w:tcPr>
          <w:p w14:paraId="51A5A67E" w14:textId="77777777" w:rsidR="00DC5CE7" w:rsidRPr="00220C0E" w:rsidRDefault="00DC5CE7" w:rsidP="00DC5CE7">
            <w:pPr>
              <w:jc w:val="center"/>
              <w:rPr>
                <w:rFonts w:cstheme="minorHAnsi"/>
                <w:sz w:val="24"/>
                <w:szCs w:val="24"/>
              </w:rPr>
            </w:pPr>
            <w:r w:rsidRPr="00220C0E">
              <w:rPr>
                <w:rFonts w:cstheme="minorHAnsi"/>
                <w:sz w:val="24"/>
                <w:szCs w:val="24"/>
              </w:rPr>
              <w:t xml:space="preserve">5 </w:t>
            </w:r>
            <w:proofErr w:type="spellStart"/>
            <w:r w:rsidRPr="00220C0E">
              <w:rPr>
                <w:rFonts w:cstheme="minorHAnsi"/>
                <w:sz w:val="24"/>
                <w:szCs w:val="24"/>
              </w:rPr>
              <w:t>octobre</w:t>
            </w:r>
            <w:proofErr w:type="spellEnd"/>
          </w:p>
        </w:tc>
        <w:tc>
          <w:tcPr>
            <w:tcW w:w="1325" w:type="dxa"/>
          </w:tcPr>
          <w:p w14:paraId="5AF11EAA" w14:textId="6979ABEF" w:rsidR="00DC5CE7" w:rsidRPr="00220C0E" w:rsidRDefault="00DC5CE7" w:rsidP="00DC5CE7">
            <w:pPr>
              <w:jc w:val="center"/>
              <w:rPr>
                <w:rFonts w:cstheme="minorHAnsi"/>
                <w:sz w:val="24"/>
                <w:szCs w:val="24"/>
              </w:rPr>
            </w:pPr>
            <w:r>
              <w:rPr>
                <w:rFonts w:cstheme="minorHAnsi"/>
                <w:sz w:val="24"/>
                <w:szCs w:val="24"/>
              </w:rPr>
              <w:t>5</w:t>
            </w:r>
          </w:p>
        </w:tc>
        <w:tc>
          <w:tcPr>
            <w:tcW w:w="1325" w:type="dxa"/>
          </w:tcPr>
          <w:p w14:paraId="6F32595D" w14:textId="0F6348CB" w:rsidR="00DC5CE7" w:rsidRPr="00220C0E" w:rsidRDefault="002A4AA6" w:rsidP="00DC5CE7">
            <w:pPr>
              <w:jc w:val="center"/>
              <w:rPr>
                <w:rFonts w:cstheme="minorHAnsi"/>
                <w:sz w:val="24"/>
                <w:szCs w:val="24"/>
              </w:rPr>
            </w:pPr>
            <w:r>
              <w:rPr>
                <w:rFonts w:cstheme="minorHAnsi"/>
                <w:sz w:val="24"/>
                <w:szCs w:val="24"/>
              </w:rPr>
              <w:t>5</w:t>
            </w:r>
          </w:p>
        </w:tc>
        <w:tc>
          <w:tcPr>
            <w:tcW w:w="1325" w:type="dxa"/>
          </w:tcPr>
          <w:p w14:paraId="799B3D6B" w14:textId="78C5CF44" w:rsidR="00DC5CE7" w:rsidRPr="00220C0E" w:rsidRDefault="002A4AA6" w:rsidP="00DC5CE7">
            <w:pPr>
              <w:jc w:val="center"/>
              <w:rPr>
                <w:rFonts w:cstheme="minorHAnsi"/>
                <w:sz w:val="24"/>
                <w:szCs w:val="24"/>
              </w:rPr>
            </w:pPr>
            <w:r>
              <w:rPr>
                <w:rFonts w:cstheme="minorHAnsi"/>
                <w:sz w:val="24"/>
                <w:szCs w:val="24"/>
              </w:rPr>
              <w:t>0</w:t>
            </w:r>
          </w:p>
        </w:tc>
        <w:tc>
          <w:tcPr>
            <w:tcW w:w="1642" w:type="dxa"/>
          </w:tcPr>
          <w:p w14:paraId="53901CCB" w14:textId="75785B7C" w:rsidR="00DC5CE7" w:rsidRPr="00220C0E" w:rsidRDefault="002A4AA6" w:rsidP="00DC5CE7">
            <w:pPr>
              <w:jc w:val="center"/>
              <w:rPr>
                <w:rFonts w:cstheme="minorHAnsi"/>
                <w:sz w:val="24"/>
                <w:szCs w:val="24"/>
              </w:rPr>
            </w:pPr>
            <w:r>
              <w:rPr>
                <w:rFonts w:cstheme="minorHAnsi"/>
                <w:sz w:val="24"/>
                <w:szCs w:val="24"/>
              </w:rPr>
              <w:t>5</w:t>
            </w:r>
          </w:p>
        </w:tc>
        <w:tc>
          <w:tcPr>
            <w:tcW w:w="1462" w:type="dxa"/>
          </w:tcPr>
          <w:p w14:paraId="5AAD7960" w14:textId="4929433D" w:rsidR="00DC5CE7" w:rsidRPr="00220C0E" w:rsidRDefault="00DC5CE7" w:rsidP="00DC5CE7">
            <w:pPr>
              <w:jc w:val="center"/>
              <w:rPr>
                <w:rFonts w:cstheme="minorHAnsi"/>
                <w:sz w:val="24"/>
                <w:szCs w:val="24"/>
              </w:rPr>
            </w:pPr>
            <w:proofErr w:type="spellStart"/>
            <w:r>
              <w:rPr>
                <w:rFonts w:cstheme="minorHAnsi"/>
                <w:sz w:val="24"/>
                <w:szCs w:val="24"/>
              </w:rPr>
              <w:t>oui</w:t>
            </w:r>
            <w:proofErr w:type="spellEnd"/>
          </w:p>
        </w:tc>
      </w:tr>
      <w:tr w:rsidR="00F93968" w:rsidRPr="00220C0E" w14:paraId="48846C00" w14:textId="77777777" w:rsidTr="00DC5CE7">
        <w:tc>
          <w:tcPr>
            <w:tcW w:w="1717" w:type="dxa"/>
          </w:tcPr>
          <w:p w14:paraId="0E637E48" w14:textId="77777777" w:rsidR="00F93968" w:rsidRPr="00220C0E" w:rsidRDefault="00F93968" w:rsidP="00923BD1">
            <w:pPr>
              <w:jc w:val="center"/>
              <w:rPr>
                <w:rFonts w:cstheme="minorHAnsi"/>
                <w:sz w:val="24"/>
                <w:szCs w:val="24"/>
              </w:rPr>
            </w:pPr>
            <w:r w:rsidRPr="00220C0E">
              <w:rPr>
                <w:rFonts w:cstheme="minorHAnsi"/>
                <w:sz w:val="24"/>
                <w:szCs w:val="24"/>
              </w:rPr>
              <w:t>Skinners Pond PEI</w:t>
            </w:r>
          </w:p>
        </w:tc>
        <w:tc>
          <w:tcPr>
            <w:tcW w:w="1286" w:type="dxa"/>
          </w:tcPr>
          <w:p w14:paraId="19F0389F" w14:textId="638068A8" w:rsidR="00F93968" w:rsidRPr="00220C0E" w:rsidRDefault="00DF65DA" w:rsidP="00923BD1">
            <w:pPr>
              <w:jc w:val="center"/>
              <w:rPr>
                <w:rFonts w:cstheme="minorHAnsi"/>
                <w:sz w:val="24"/>
                <w:szCs w:val="24"/>
              </w:rPr>
            </w:pPr>
            <w:r>
              <w:rPr>
                <w:rFonts w:cstheme="minorHAnsi"/>
                <w:sz w:val="24"/>
                <w:szCs w:val="24"/>
              </w:rPr>
              <w:t xml:space="preserve">25 </w:t>
            </w:r>
            <w:proofErr w:type="spellStart"/>
            <w:r>
              <w:rPr>
                <w:rFonts w:cstheme="minorHAnsi"/>
                <w:sz w:val="24"/>
                <w:szCs w:val="24"/>
              </w:rPr>
              <w:t>juin</w:t>
            </w:r>
            <w:proofErr w:type="spellEnd"/>
          </w:p>
        </w:tc>
        <w:tc>
          <w:tcPr>
            <w:tcW w:w="1542" w:type="dxa"/>
          </w:tcPr>
          <w:p w14:paraId="2FB8E289" w14:textId="77777777" w:rsidR="00F93968" w:rsidRPr="00220C0E" w:rsidRDefault="00F93968" w:rsidP="00923BD1">
            <w:pPr>
              <w:jc w:val="center"/>
              <w:rPr>
                <w:rFonts w:cstheme="minorHAnsi"/>
                <w:sz w:val="24"/>
                <w:szCs w:val="24"/>
              </w:rPr>
            </w:pPr>
            <w:r w:rsidRPr="00220C0E">
              <w:rPr>
                <w:rFonts w:cstheme="minorHAnsi"/>
                <w:sz w:val="24"/>
                <w:szCs w:val="24"/>
              </w:rPr>
              <w:t xml:space="preserve">16 </w:t>
            </w:r>
            <w:proofErr w:type="spellStart"/>
            <w:r w:rsidRPr="00220C0E">
              <w:rPr>
                <w:rFonts w:cstheme="minorHAnsi"/>
                <w:sz w:val="24"/>
                <w:szCs w:val="24"/>
              </w:rPr>
              <w:t>octobre</w:t>
            </w:r>
            <w:proofErr w:type="spellEnd"/>
          </w:p>
        </w:tc>
        <w:tc>
          <w:tcPr>
            <w:tcW w:w="1325" w:type="dxa"/>
          </w:tcPr>
          <w:p w14:paraId="62D77324" w14:textId="263EDBDA" w:rsidR="00F93968" w:rsidRPr="00220C0E" w:rsidRDefault="00DF65DA" w:rsidP="00923BD1">
            <w:pPr>
              <w:jc w:val="center"/>
              <w:rPr>
                <w:rFonts w:cstheme="minorHAnsi"/>
                <w:sz w:val="24"/>
                <w:szCs w:val="24"/>
              </w:rPr>
            </w:pPr>
            <w:r>
              <w:rPr>
                <w:rFonts w:cstheme="minorHAnsi"/>
                <w:sz w:val="24"/>
                <w:szCs w:val="24"/>
              </w:rPr>
              <w:t>30</w:t>
            </w:r>
          </w:p>
        </w:tc>
        <w:tc>
          <w:tcPr>
            <w:tcW w:w="1325" w:type="dxa"/>
          </w:tcPr>
          <w:p w14:paraId="7E690FF4" w14:textId="5B953D3B" w:rsidR="00F93968" w:rsidRPr="00220C0E" w:rsidRDefault="005C0B30" w:rsidP="00923BD1">
            <w:pPr>
              <w:jc w:val="center"/>
              <w:rPr>
                <w:rFonts w:cstheme="minorHAnsi"/>
                <w:sz w:val="24"/>
                <w:szCs w:val="24"/>
              </w:rPr>
            </w:pPr>
            <w:r>
              <w:rPr>
                <w:rFonts w:cstheme="minorHAnsi"/>
                <w:sz w:val="24"/>
                <w:szCs w:val="24"/>
              </w:rPr>
              <w:t>30</w:t>
            </w:r>
          </w:p>
        </w:tc>
        <w:tc>
          <w:tcPr>
            <w:tcW w:w="1325" w:type="dxa"/>
          </w:tcPr>
          <w:p w14:paraId="1F9608B7" w14:textId="075AEE35" w:rsidR="00F93968" w:rsidRPr="00220C0E" w:rsidRDefault="005C0B30" w:rsidP="00923BD1">
            <w:pPr>
              <w:jc w:val="center"/>
              <w:rPr>
                <w:rFonts w:cstheme="minorHAnsi"/>
                <w:sz w:val="24"/>
                <w:szCs w:val="24"/>
              </w:rPr>
            </w:pPr>
            <w:r>
              <w:rPr>
                <w:rFonts w:cstheme="minorHAnsi"/>
                <w:sz w:val="24"/>
                <w:szCs w:val="24"/>
              </w:rPr>
              <w:t>0</w:t>
            </w:r>
          </w:p>
        </w:tc>
        <w:tc>
          <w:tcPr>
            <w:tcW w:w="1642" w:type="dxa"/>
          </w:tcPr>
          <w:p w14:paraId="59D91EBC" w14:textId="7CB3A2BF" w:rsidR="00F93968" w:rsidRPr="00220C0E" w:rsidRDefault="005C0B30" w:rsidP="00923BD1">
            <w:pPr>
              <w:jc w:val="center"/>
              <w:rPr>
                <w:rFonts w:cstheme="minorHAnsi"/>
                <w:sz w:val="24"/>
                <w:szCs w:val="24"/>
              </w:rPr>
            </w:pPr>
            <w:r>
              <w:rPr>
                <w:rFonts w:cstheme="minorHAnsi"/>
                <w:sz w:val="24"/>
                <w:szCs w:val="24"/>
              </w:rPr>
              <w:t>30</w:t>
            </w:r>
          </w:p>
        </w:tc>
        <w:tc>
          <w:tcPr>
            <w:tcW w:w="1462" w:type="dxa"/>
          </w:tcPr>
          <w:p w14:paraId="797CEC5C" w14:textId="6BEC1E6A" w:rsidR="00F93968" w:rsidRPr="00220C0E" w:rsidRDefault="001A1A2B" w:rsidP="00923BD1">
            <w:pPr>
              <w:jc w:val="center"/>
              <w:rPr>
                <w:rFonts w:cstheme="minorHAnsi"/>
                <w:sz w:val="24"/>
                <w:szCs w:val="24"/>
              </w:rPr>
            </w:pPr>
            <w:proofErr w:type="spellStart"/>
            <w:r>
              <w:rPr>
                <w:rFonts w:cstheme="minorHAnsi"/>
                <w:sz w:val="24"/>
                <w:szCs w:val="24"/>
              </w:rPr>
              <w:t>oui</w:t>
            </w:r>
            <w:proofErr w:type="spellEnd"/>
          </w:p>
        </w:tc>
      </w:tr>
      <w:tr w:rsidR="00F93968" w:rsidRPr="00220C0E" w14:paraId="1A05FDC0" w14:textId="77777777" w:rsidTr="00DC5CE7">
        <w:tc>
          <w:tcPr>
            <w:tcW w:w="1717" w:type="dxa"/>
          </w:tcPr>
          <w:p w14:paraId="1B30091B" w14:textId="77777777" w:rsidR="00F93968" w:rsidRPr="00220C0E" w:rsidRDefault="00F93968" w:rsidP="00923BD1">
            <w:pPr>
              <w:jc w:val="center"/>
              <w:rPr>
                <w:rFonts w:cstheme="minorHAnsi"/>
                <w:sz w:val="24"/>
                <w:szCs w:val="24"/>
              </w:rPr>
            </w:pPr>
            <w:r w:rsidRPr="00220C0E">
              <w:rPr>
                <w:rFonts w:cstheme="minorHAnsi"/>
                <w:sz w:val="24"/>
                <w:szCs w:val="24"/>
              </w:rPr>
              <w:t>Wallace NS</w:t>
            </w:r>
          </w:p>
        </w:tc>
        <w:tc>
          <w:tcPr>
            <w:tcW w:w="1286" w:type="dxa"/>
          </w:tcPr>
          <w:p w14:paraId="1CDA00C4" w14:textId="77777777" w:rsidR="00F93968" w:rsidRPr="00220C0E" w:rsidRDefault="00F93968" w:rsidP="00923BD1">
            <w:pPr>
              <w:jc w:val="center"/>
              <w:rPr>
                <w:rFonts w:cstheme="minorHAnsi"/>
                <w:sz w:val="24"/>
                <w:szCs w:val="24"/>
              </w:rPr>
            </w:pPr>
            <w:r w:rsidRPr="00220C0E">
              <w:rPr>
                <w:rFonts w:cstheme="minorHAnsi"/>
                <w:sz w:val="24"/>
                <w:szCs w:val="24"/>
              </w:rPr>
              <w:t>NA</w:t>
            </w:r>
          </w:p>
        </w:tc>
        <w:tc>
          <w:tcPr>
            <w:tcW w:w="1542" w:type="dxa"/>
          </w:tcPr>
          <w:p w14:paraId="725C1C44" w14:textId="77777777" w:rsidR="00F93968" w:rsidRPr="00220C0E" w:rsidRDefault="00F93968" w:rsidP="00923BD1">
            <w:pPr>
              <w:jc w:val="center"/>
              <w:rPr>
                <w:rFonts w:cstheme="minorHAnsi"/>
                <w:sz w:val="24"/>
                <w:szCs w:val="24"/>
              </w:rPr>
            </w:pPr>
            <w:r w:rsidRPr="00220C0E">
              <w:rPr>
                <w:rFonts w:cstheme="minorHAnsi"/>
                <w:sz w:val="24"/>
                <w:szCs w:val="24"/>
              </w:rPr>
              <w:t>NA</w:t>
            </w:r>
          </w:p>
        </w:tc>
        <w:tc>
          <w:tcPr>
            <w:tcW w:w="1325" w:type="dxa"/>
          </w:tcPr>
          <w:p w14:paraId="52B55E54" w14:textId="77777777" w:rsidR="00F93968" w:rsidRPr="00220C0E" w:rsidRDefault="00F93968" w:rsidP="00923BD1">
            <w:pPr>
              <w:jc w:val="center"/>
              <w:rPr>
                <w:rFonts w:cstheme="minorHAnsi"/>
                <w:sz w:val="24"/>
                <w:szCs w:val="24"/>
              </w:rPr>
            </w:pPr>
            <w:r w:rsidRPr="00220C0E">
              <w:rPr>
                <w:rFonts w:cstheme="minorHAnsi"/>
                <w:sz w:val="24"/>
                <w:szCs w:val="24"/>
              </w:rPr>
              <w:t>NA</w:t>
            </w:r>
          </w:p>
        </w:tc>
        <w:tc>
          <w:tcPr>
            <w:tcW w:w="1325" w:type="dxa"/>
          </w:tcPr>
          <w:p w14:paraId="12F09FA6" w14:textId="77777777" w:rsidR="00F93968" w:rsidRPr="00220C0E" w:rsidRDefault="00F93968" w:rsidP="00923BD1">
            <w:pPr>
              <w:jc w:val="center"/>
              <w:rPr>
                <w:rFonts w:cstheme="minorHAnsi"/>
                <w:sz w:val="24"/>
                <w:szCs w:val="24"/>
              </w:rPr>
            </w:pPr>
            <w:r w:rsidRPr="00220C0E">
              <w:rPr>
                <w:rFonts w:cstheme="minorHAnsi"/>
                <w:sz w:val="24"/>
                <w:szCs w:val="24"/>
              </w:rPr>
              <w:t>NA</w:t>
            </w:r>
          </w:p>
        </w:tc>
        <w:tc>
          <w:tcPr>
            <w:tcW w:w="1325" w:type="dxa"/>
          </w:tcPr>
          <w:p w14:paraId="342962B2" w14:textId="77777777" w:rsidR="00F93968" w:rsidRPr="00220C0E" w:rsidRDefault="00F93968" w:rsidP="00923BD1">
            <w:pPr>
              <w:jc w:val="center"/>
              <w:rPr>
                <w:rFonts w:cstheme="minorHAnsi"/>
                <w:sz w:val="24"/>
                <w:szCs w:val="24"/>
              </w:rPr>
            </w:pPr>
            <w:r w:rsidRPr="00220C0E">
              <w:rPr>
                <w:rFonts w:cstheme="minorHAnsi"/>
                <w:sz w:val="24"/>
                <w:szCs w:val="24"/>
              </w:rPr>
              <w:t>NA</w:t>
            </w:r>
          </w:p>
        </w:tc>
        <w:tc>
          <w:tcPr>
            <w:tcW w:w="1642" w:type="dxa"/>
          </w:tcPr>
          <w:p w14:paraId="32BC13C4" w14:textId="77777777" w:rsidR="00F93968" w:rsidRPr="00220C0E" w:rsidRDefault="00F93968" w:rsidP="00923BD1">
            <w:pPr>
              <w:jc w:val="center"/>
              <w:rPr>
                <w:rFonts w:cstheme="minorHAnsi"/>
                <w:sz w:val="24"/>
                <w:szCs w:val="24"/>
              </w:rPr>
            </w:pPr>
            <w:r w:rsidRPr="00220C0E">
              <w:rPr>
                <w:rFonts w:cstheme="minorHAnsi"/>
                <w:sz w:val="24"/>
                <w:szCs w:val="24"/>
              </w:rPr>
              <w:t>NA</w:t>
            </w:r>
            <w:bookmarkStart w:id="0" w:name="_GoBack"/>
            <w:bookmarkEnd w:id="0"/>
          </w:p>
        </w:tc>
        <w:tc>
          <w:tcPr>
            <w:tcW w:w="1462" w:type="dxa"/>
          </w:tcPr>
          <w:p w14:paraId="744F1C85" w14:textId="77777777" w:rsidR="00F93968" w:rsidRPr="00220C0E" w:rsidRDefault="00F93968" w:rsidP="00923BD1">
            <w:pPr>
              <w:jc w:val="center"/>
              <w:rPr>
                <w:rFonts w:cstheme="minorHAnsi"/>
                <w:sz w:val="24"/>
                <w:szCs w:val="24"/>
              </w:rPr>
            </w:pPr>
            <w:r w:rsidRPr="00220C0E">
              <w:rPr>
                <w:rFonts w:cstheme="minorHAnsi"/>
                <w:sz w:val="24"/>
                <w:szCs w:val="24"/>
              </w:rPr>
              <w:t>NA</w:t>
            </w:r>
          </w:p>
        </w:tc>
      </w:tr>
    </w:tbl>
    <w:p w14:paraId="72E463B9" w14:textId="77777777" w:rsidR="00F93968" w:rsidRPr="00220C0E" w:rsidRDefault="00F93968">
      <w:pPr>
        <w:rPr>
          <w:rFonts w:cstheme="minorHAnsi"/>
          <w:sz w:val="24"/>
          <w:szCs w:val="24"/>
          <w:lang w:val="fr-CA"/>
        </w:rPr>
      </w:pPr>
    </w:p>
    <w:p w14:paraId="3ED29A28" w14:textId="77777777" w:rsidR="00F93968" w:rsidRPr="00220C0E" w:rsidRDefault="00F93968">
      <w:pPr>
        <w:rPr>
          <w:rFonts w:cstheme="minorHAnsi"/>
          <w:b/>
          <w:sz w:val="24"/>
          <w:szCs w:val="24"/>
          <w:lang w:val="fr-CA"/>
        </w:rPr>
      </w:pPr>
      <w:r w:rsidRPr="00220C0E">
        <w:rPr>
          <w:rFonts w:cstheme="minorHAnsi"/>
          <w:b/>
          <w:sz w:val="24"/>
          <w:szCs w:val="24"/>
          <w:lang w:val="fr-CA"/>
        </w:rPr>
        <w:t>Méthodes de laboratoire</w:t>
      </w:r>
    </w:p>
    <w:p w14:paraId="3070C461" w14:textId="73A48FAC" w:rsidR="00F93968" w:rsidRPr="00220C0E" w:rsidRDefault="00F93968">
      <w:pPr>
        <w:rPr>
          <w:rFonts w:cstheme="minorHAnsi"/>
          <w:sz w:val="24"/>
          <w:szCs w:val="24"/>
          <w:lang w:val="fr-CA"/>
        </w:rPr>
      </w:pPr>
      <w:r w:rsidRPr="00220C0E">
        <w:rPr>
          <w:rFonts w:cstheme="minorHAnsi"/>
          <w:sz w:val="24"/>
          <w:szCs w:val="24"/>
          <w:lang w:val="fr-CA"/>
        </w:rPr>
        <w:t xml:space="preserve">Au laboratoire, des données biologiques de tous les poissons et les crabes échantillonnés par collecteur sont prises. Pour les poissons, il sont tout d’abord identifiés à l’espèce. La longueur (arrondi au millimètre) et le </w:t>
      </w:r>
      <w:proofErr w:type="spellStart"/>
      <w:r w:rsidRPr="00220C0E">
        <w:rPr>
          <w:rFonts w:cstheme="minorHAnsi"/>
          <w:sz w:val="24"/>
          <w:szCs w:val="24"/>
          <w:lang w:val="fr-CA"/>
        </w:rPr>
        <w:t>poid</w:t>
      </w:r>
      <w:proofErr w:type="spellEnd"/>
      <w:r w:rsidRPr="00220C0E">
        <w:rPr>
          <w:rFonts w:cstheme="minorHAnsi"/>
          <w:sz w:val="24"/>
          <w:szCs w:val="24"/>
          <w:lang w:val="fr-CA"/>
        </w:rPr>
        <w:t xml:space="preserve"> individuel (1/1000 gramme) sont notés. </w:t>
      </w:r>
      <w:r w:rsidR="002F1E92" w:rsidRPr="00220C0E">
        <w:rPr>
          <w:rFonts w:cstheme="minorHAnsi"/>
          <w:sz w:val="24"/>
          <w:szCs w:val="24"/>
          <w:lang w:val="fr-CA"/>
        </w:rPr>
        <w:t xml:space="preserve">Les </w:t>
      </w:r>
      <w:r w:rsidRPr="00220C0E">
        <w:rPr>
          <w:rFonts w:cstheme="minorHAnsi"/>
          <w:sz w:val="24"/>
          <w:szCs w:val="24"/>
          <w:lang w:val="fr-CA"/>
        </w:rPr>
        <w:t>crabes sont aussi identifiés à l’espèce</w:t>
      </w:r>
      <w:r w:rsidR="002F1E92" w:rsidRPr="00220C0E">
        <w:rPr>
          <w:rFonts w:cstheme="minorHAnsi"/>
          <w:sz w:val="24"/>
          <w:szCs w:val="24"/>
          <w:lang w:val="fr-CA"/>
        </w:rPr>
        <w:t>,</w:t>
      </w:r>
      <w:r w:rsidRPr="00220C0E">
        <w:rPr>
          <w:rFonts w:cstheme="minorHAnsi"/>
          <w:sz w:val="24"/>
          <w:szCs w:val="24"/>
          <w:lang w:val="fr-CA"/>
        </w:rPr>
        <w:t xml:space="preserve"> mesurés (largeur de carapace) et</w:t>
      </w:r>
      <w:r w:rsidR="002F1E92" w:rsidRPr="00220C0E">
        <w:rPr>
          <w:rFonts w:cstheme="minorHAnsi"/>
          <w:sz w:val="24"/>
          <w:szCs w:val="24"/>
          <w:lang w:val="fr-CA"/>
        </w:rPr>
        <w:t xml:space="preserve"> ensuite</w:t>
      </w:r>
      <w:r w:rsidRPr="00220C0E">
        <w:rPr>
          <w:rFonts w:cstheme="minorHAnsi"/>
          <w:sz w:val="24"/>
          <w:szCs w:val="24"/>
          <w:lang w:val="fr-CA"/>
        </w:rPr>
        <w:t xml:space="preserve"> pesés en groupe selon cinq catégories : 0-5mm, 6-15mm, 16-30mm, 31mm+ et les morceaux brisés. À partir de 2020, les poids des crabes seront pris mouillés (</w:t>
      </w:r>
      <w:proofErr w:type="spellStart"/>
      <w:r w:rsidRPr="00220C0E">
        <w:rPr>
          <w:rFonts w:cstheme="minorHAnsi"/>
          <w:sz w:val="24"/>
          <w:szCs w:val="24"/>
          <w:lang w:val="fr-CA"/>
        </w:rPr>
        <w:t>wet</w:t>
      </w:r>
      <w:proofErr w:type="spellEnd"/>
      <w:r w:rsidRPr="00220C0E">
        <w:rPr>
          <w:rFonts w:cstheme="minorHAnsi"/>
          <w:sz w:val="24"/>
          <w:szCs w:val="24"/>
          <w:lang w:val="fr-CA"/>
        </w:rPr>
        <w:t>) seulement. Auparavant (2019 et avant), le poids mouillé était pris</w:t>
      </w:r>
      <w:r w:rsidR="002F1E92" w:rsidRPr="00220C0E">
        <w:rPr>
          <w:rFonts w:cstheme="minorHAnsi"/>
          <w:sz w:val="24"/>
          <w:szCs w:val="24"/>
          <w:lang w:val="fr-CA"/>
        </w:rPr>
        <w:t xml:space="preserve"> et ensuite</w:t>
      </w:r>
      <w:r w:rsidRPr="00220C0E">
        <w:rPr>
          <w:rFonts w:cstheme="minorHAnsi"/>
          <w:sz w:val="24"/>
          <w:szCs w:val="24"/>
          <w:lang w:val="fr-CA"/>
        </w:rPr>
        <w:t xml:space="preserve"> les crabes étaient placés dans un four à </w:t>
      </w:r>
      <w:r w:rsidRPr="00220C0E">
        <w:rPr>
          <w:rFonts w:eastAsia="Times New Roman" w:cstheme="minorHAnsi"/>
          <w:sz w:val="24"/>
          <w:szCs w:val="24"/>
          <w:lang w:val="fr-CA"/>
        </w:rPr>
        <w:t>70˚C±2˚C pendant 16 heures ±2 heures</w:t>
      </w:r>
      <w:r w:rsidRPr="00220C0E">
        <w:rPr>
          <w:rFonts w:cstheme="minorHAnsi"/>
          <w:sz w:val="24"/>
          <w:szCs w:val="24"/>
          <w:lang w:val="fr-CA"/>
        </w:rPr>
        <w:t xml:space="preserve"> afin de les sécher. Par la suite, ils étaient pesés à sec. La décision d’arrêter de prendre les poids secs a été prises après discussion auprès des biologistes et chercheurs scientifiques de la section car ces données n’étaient pas utilisées et nous possédons déjà une banque de données de poids secs depuis le début du projet des bio-collecteurs.</w:t>
      </w:r>
    </w:p>
    <w:p w14:paraId="712A7A87" w14:textId="77777777" w:rsidR="00F93968" w:rsidRPr="00220C0E" w:rsidRDefault="00F93968">
      <w:pPr>
        <w:rPr>
          <w:rFonts w:cstheme="minorHAnsi"/>
          <w:sz w:val="24"/>
          <w:szCs w:val="24"/>
          <w:lang w:val="fr-CA"/>
        </w:rPr>
      </w:pPr>
    </w:p>
    <w:p w14:paraId="05AB7D37" w14:textId="77777777" w:rsidR="00F93968" w:rsidRPr="00220C0E" w:rsidRDefault="00F93968">
      <w:pPr>
        <w:rPr>
          <w:rFonts w:cstheme="minorHAnsi"/>
          <w:b/>
          <w:sz w:val="24"/>
          <w:szCs w:val="24"/>
          <w:lang w:val="fr-CA"/>
        </w:rPr>
      </w:pPr>
      <w:r w:rsidRPr="00220C0E">
        <w:rPr>
          <w:rFonts w:cstheme="minorHAnsi"/>
          <w:b/>
          <w:sz w:val="24"/>
          <w:szCs w:val="24"/>
          <w:lang w:val="fr-CA"/>
        </w:rPr>
        <w:t>Discussion</w:t>
      </w:r>
    </w:p>
    <w:p w14:paraId="1EEF5750" w14:textId="05B1F3A1" w:rsidR="00F93968" w:rsidRDefault="00F93968">
      <w:pPr>
        <w:rPr>
          <w:rFonts w:cstheme="minorHAnsi"/>
          <w:sz w:val="24"/>
          <w:szCs w:val="24"/>
          <w:lang w:val="fr-CA"/>
        </w:rPr>
      </w:pPr>
      <w:r w:rsidRPr="00220C0E">
        <w:rPr>
          <w:rFonts w:cstheme="minorHAnsi"/>
          <w:sz w:val="24"/>
          <w:szCs w:val="24"/>
          <w:lang w:val="fr-CA"/>
        </w:rPr>
        <w:t>Après plusieurs années d’utilisation, les bio-collecteurs se déforment, rouillent et brisent. La décision de remplacer des collecteurs se fait au printemps par la province de I.-P.-É. et PEIFA. Par contre, le meilleurs temps pour les remplacer serait l’automne lors de l’échantillonnage car les bio-collecteurs sont remplis de roches et gravier à ce moment-là. Par contre, historiquement, personne n’a jamais apporté des collecteurs neuf</w:t>
      </w:r>
      <w:r w:rsidR="002F1E92" w:rsidRPr="00220C0E">
        <w:rPr>
          <w:rFonts w:cstheme="minorHAnsi"/>
          <w:sz w:val="24"/>
          <w:szCs w:val="24"/>
          <w:lang w:val="fr-CA"/>
        </w:rPr>
        <w:t>s</w:t>
      </w:r>
      <w:r w:rsidRPr="00220C0E">
        <w:rPr>
          <w:rFonts w:cstheme="minorHAnsi"/>
          <w:sz w:val="24"/>
          <w:szCs w:val="24"/>
          <w:lang w:val="fr-CA"/>
        </w:rPr>
        <w:t xml:space="preserve"> à ce moment-là pour remplacer les collecteurs mal en point. Une discussion avec la province de I.-P.-É. et PEIFA devrait être entamée avant l’automne 2021 à ce sujet.</w:t>
      </w:r>
    </w:p>
    <w:p w14:paraId="16DC1F2A" w14:textId="77777777" w:rsidR="008772CA" w:rsidRPr="00220C0E" w:rsidRDefault="008772CA">
      <w:pPr>
        <w:rPr>
          <w:rFonts w:cstheme="minorHAnsi"/>
          <w:sz w:val="24"/>
          <w:szCs w:val="24"/>
          <w:lang w:val="fr-CA"/>
        </w:rPr>
      </w:pPr>
    </w:p>
    <w:p w14:paraId="5EF5519B" w14:textId="77777777" w:rsidR="00F93968" w:rsidRPr="00220C0E" w:rsidRDefault="00F93968">
      <w:pPr>
        <w:rPr>
          <w:rFonts w:cstheme="minorHAnsi"/>
          <w:b/>
          <w:sz w:val="24"/>
          <w:szCs w:val="24"/>
          <w:lang w:val="fr-CA"/>
        </w:rPr>
      </w:pPr>
      <w:r w:rsidRPr="00220C0E">
        <w:rPr>
          <w:rFonts w:cstheme="minorHAnsi"/>
          <w:b/>
          <w:sz w:val="24"/>
          <w:szCs w:val="24"/>
          <w:lang w:val="fr-CA"/>
        </w:rPr>
        <w:t>Conclusion</w:t>
      </w:r>
    </w:p>
    <w:p w14:paraId="04489455" w14:textId="008D373B" w:rsidR="00F93968" w:rsidRPr="00220C0E" w:rsidRDefault="00F93968">
      <w:pPr>
        <w:rPr>
          <w:rFonts w:cstheme="minorHAnsi"/>
          <w:sz w:val="24"/>
          <w:szCs w:val="24"/>
          <w:lang w:val="fr-CA"/>
        </w:rPr>
      </w:pPr>
      <w:r w:rsidRPr="00220C0E">
        <w:rPr>
          <w:rFonts w:cstheme="minorHAnsi"/>
          <w:sz w:val="24"/>
          <w:szCs w:val="24"/>
          <w:lang w:val="fr-CA"/>
        </w:rPr>
        <w:t xml:space="preserve">Les données </w:t>
      </w:r>
      <w:r w:rsidR="00BB05F7" w:rsidRPr="00220C0E">
        <w:rPr>
          <w:rFonts w:cstheme="minorHAnsi"/>
          <w:sz w:val="24"/>
          <w:szCs w:val="24"/>
          <w:lang w:val="fr-CA"/>
        </w:rPr>
        <w:t xml:space="preserve">du projet de </w:t>
      </w:r>
      <w:r w:rsidRPr="00220C0E">
        <w:rPr>
          <w:rFonts w:cstheme="minorHAnsi"/>
          <w:sz w:val="24"/>
          <w:szCs w:val="24"/>
          <w:lang w:val="fr-CA"/>
        </w:rPr>
        <w:t xml:space="preserve">bio-collecteurs sont utilisées comme indice d’abondance d’homard de l’année </w:t>
      </w:r>
      <w:r w:rsidRPr="00220C0E">
        <w:rPr>
          <w:rFonts w:cstheme="minorHAnsi"/>
          <w:noProof/>
          <w:sz w:val="24"/>
          <w:szCs w:val="24"/>
          <w:lang w:val="fr-CA"/>
        </w:rPr>
        <w:t>(Rondeau et al., 2014a; DFO, 2016; DFO, 2019a)</w:t>
      </w:r>
      <w:r w:rsidRPr="00220C0E">
        <w:rPr>
          <w:rFonts w:cstheme="minorHAnsi"/>
          <w:sz w:val="24"/>
          <w:szCs w:val="24"/>
          <w:lang w:val="fr-CA"/>
        </w:rPr>
        <w:t xml:space="preserve"> et comme indice d’abondance de jeune crabes communs </w:t>
      </w:r>
      <w:r w:rsidRPr="00220C0E">
        <w:rPr>
          <w:rFonts w:cstheme="minorHAnsi"/>
          <w:noProof/>
          <w:sz w:val="24"/>
          <w:szCs w:val="24"/>
          <w:lang w:val="fr-CA"/>
        </w:rPr>
        <w:t>(Rondeau et al., 2014b; DFO, 2017; DFO, 2019b)</w:t>
      </w:r>
      <w:r w:rsidRPr="00220C0E">
        <w:rPr>
          <w:rFonts w:cstheme="minorHAnsi"/>
          <w:sz w:val="24"/>
          <w:szCs w:val="24"/>
          <w:lang w:val="fr-CA"/>
        </w:rPr>
        <w:t xml:space="preserve"> dans l’évaluation du stock d’homard dans le sud du golfe du St. Laurent et dans l’évaluation de la pêche du crabe commun dans le sud du golfe du St. Laurent, respectivement.</w:t>
      </w:r>
    </w:p>
    <w:p w14:paraId="55B0BF1F" w14:textId="77777777" w:rsidR="00F93968" w:rsidRPr="00220C0E" w:rsidRDefault="00F93968">
      <w:pPr>
        <w:rPr>
          <w:rFonts w:cstheme="minorHAnsi"/>
          <w:sz w:val="24"/>
          <w:szCs w:val="24"/>
          <w:lang w:val="fr-CA"/>
        </w:rPr>
      </w:pPr>
    </w:p>
    <w:p w14:paraId="78A0FCB2" w14:textId="77777777" w:rsidR="00F93968" w:rsidRPr="00220C0E" w:rsidRDefault="00F93968">
      <w:pPr>
        <w:rPr>
          <w:rFonts w:cstheme="minorHAnsi"/>
          <w:b/>
          <w:sz w:val="24"/>
          <w:szCs w:val="24"/>
        </w:rPr>
      </w:pPr>
      <w:proofErr w:type="spellStart"/>
      <w:r w:rsidRPr="00220C0E">
        <w:rPr>
          <w:rFonts w:cstheme="minorHAnsi"/>
          <w:b/>
          <w:sz w:val="24"/>
          <w:szCs w:val="24"/>
        </w:rPr>
        <w:t>Littérature</w:t>
      </w:r>
      <w:proofErr w:type="spellEnd"/>
      <w:r w:rsidRPr="00220C0E">
        <w:rPr>
          <w:rFonts w:cstheme="minorHAnsi"/>
          <w:b/>
          <w:sz w:val="24"/>
          <w:szCs w:val="24"/>
        </w:rPr>
        <w:t xml:space="preserve"> </w:t>
      </w:r>
      <w:proofErr w:type="spellStart"/>
      <w:r w:rsidRPr="00220C0E">
        <w:rPr>
          <w:rFonts w:cstheme="minorHAnsi"/>
          <w:b/>
          <w:sz w:val="24"/>
          <w:szCs w:val="24"/>
        </w:rPr>
        <w:t>citée</w:t>
      </w:r>
      <w:proofErr w:type="spellEnd"/>
      <w:r w:rsidRPr="00220C0E">
        <w:rPr>
          <w:rFonts w:cstheme="minorHAnsi"/>
          <w:b/>
          <w:sz w:val="24"/>
          <w:szCs w:val="24"/>
        </w:rPr>
        <w:t> :</w:t>
      </w:r>
    </w:p>
    <w:p w14:paraId="530B4335" w14:textId="77777777" w:rsidR="00F93968" w:rsidRPr="00220C0E" w:rsidRDefault="00F93968" w:rsidP="002F398C">
      <w:pPr>
        <w:pStyle w:val="EndNoteBibliography"/>
        <w:spacing w:after="0"/>
        <w:ind w:left="720" w:hanging="720"/>
        <w:rPr>
          <w:rFonts w:asciiTheme="minorHAnsi" w:hAnsiTheme="minorHAnsi" w:cstheme="minorHAnsi"/>
          <w:sz w:val="24"/>
          <w:szCs w:val="24"/>
        </w:rPr>
      </w:pPr>
      <w:r w:rsidRPr="00220C0E">
        <w:rPr>
          <w:rFonts w:asciiTheme="minorHAnsi" w:hAnsiTheme="minorHAnsi" w:cstheme="minorHAnsi"/>
          <w:sz w:val="24"/>
          <w:szCs w:val="24"/>
        </w:rPr>
        <w:t>DFO. 2016. Update of the stock status indicators for the American lobster (</w:t>
      </w:r>
      <w:r w:rsidRPr="00220C0E">
        <w:rPr>
          <w:rFonts w:asciiTheme="minorHAnsi" w:hAnsiTheme="minorHAnsi" w:cstheme="minorHAnsi"/>
          <w:i/>
          <w:sz w:val="24"/>
          <w:szCs w:val="24"/>
        </w:rPr>
        <w:t>Homarus americanus</w:t>
      </w:r>
      <w:r w:rsidRPr="00220C0E">
        <w:rPr>
          <w:rFonts w:asciiTheme="minorHAnsi" w:hAnsiTheme="minorHAnsi" w:cstheme="minorHAnsi"/>
          <w:sz w:val="24"/>
          <w:szCs w:val="24"/>
        </w:rPr>
        <w:t>) stocks in the southern Gulf of St. Lawrence. Canadian Science Advisory Secretariat Science Advisory Report 2016/51. http://www.dfo-mpo.gc.ca/csas-sccs/Publications/ScR-RS/2016/2016_051-eng.html.</w:t>
      </w:r>
    </w:p>
    <w:p w14:paraId="721E1C8C" w14:textId="77777777" w:rsidR="00F93968" w:rsidRPr="00220C0E" w:rsidRDefault="00F93968" w:rsidP="002F398C">
      <w:pPr>
        <w:pStyle w:val="EndNoteBibliography"/>
        <w:spacing w:after="0"/>
        <w:ind w:left="720" w:hanging="720"/>
        <w:rPr>
          <w:rFonts w:asciiTheme="minorHAnsi" w:hAnsiTheme="minorHAnsi" w:cstheme="minorHAnsi"/>
          <w:sz w:val="24"/>
          <w:szCs w:val="24"/>
        </w:rPr>
      </w:pPr>
      <w:r w:rsidRPr="00220C0E">
        <w:rPr>
          <w:rFonts w:asciiTheme="minorHAnsi" w:hAnsiTheme="minorHAnsi" w:cstheme="minorHAnsi"/>
          <w:sz w:val="24"/>
          <w:szCs w:val="24"/>
        </w:rPr>
        <w:t>DFO. 2017. Update of the fishery indicators for rock crab (</w:t>
      </w:r>
      <w:r w:rsidRPr="00220C0E">
        <w:rPr>
          <w:rFonts w:asciiTheme="minorHAnsi" w:hAnsiTheme="minorHAnsi" w:cstheme="minorHAnsi"/>
          <w:i/>
          <w:sz w:val="24"/>
          <w:szCs w:val="24"/>
        </w:rPr>
        <w:t>Cancer irroratus</w:t>
      </w:r>
      <w:r w:rsidRPr="00220C0E">
        <w:rPr>
          <w:rFonts w:asciiTheme="minorHAnsi" w:hAnsiTheme="minorHAnsi" w:cstheme="minorHAnsi"/>
          <w:sz w:val="24"/>
          <w:szCs w:val="24"/>
        </w:rPr>
        <w:t>) in the southern Gulf of St. Lawrence. Canadian Science Advisory Secretariat Science Advisory Report 2016/053. 9 pp.</w:t>
      </w:r>
    </w:p>
    <w:p w14:paraId="083A0DF7" w14:textId="77777777" w:rsidR="00F93968" w:rsidRPr="00220C0E" w:rsidRDefault="00F93968" w:rsidP="002F398C">
      <w:pPr>
        <w:pStyle w:val="EndNoteBibliography"/>
        <w:spacing w:after="0"/>
        <w:ind w:left="720" w:hanging="720"/>
        <w:rPr>
          <w:rFonts w:asciiTheme="minorHAnsi" w:hAnsiTheme="minorHAnsi" w:cstheme="minorHAnsi"/>
          <w:sz w:val="24"/>
          <w:szCs w:val="24"/>
        </w:rPr>
      </w:pPr>
      <w:r w:rsidRPr="00220C0E">
        <w:rPr>
          <w:rFonts w:asciiTheme="minorHAnsi" w:hAnsiTheme="minorHAnsi" w:cstheme="minorHAnsi"/>
          <w:sz w:val="24"/>
          <w:szCs w:val="24"/>
        </w:rPr>
        <w:t>DFO. 2019a. Update of the stock status indicators for the American lobster (</w:t>
      </w:r>
      <w:r w:rsidRPr="00220C0E">
        <w:rPr>
          <w:rFonts w:asciiTheme="minorHAnsi" w:hAnsiTheme="minorHAnsi" w:cstheme="minorHAnsi"/>
          <w:i/>
          <w:sz w:val="24"/>
          <w:szCs w:val="24"/>
        </w:rPr>
        <w:t>Homarus americanus</w:t>
      </w:r>
      <w:r w:rsidRPr="00220C0E">
        <w:rPr>
          <w:rFonts w:asciiTheme="minorHAnsi" w:hAnsiTheme="minorHAnsi" w:cstheme="minorHAnsi"/>
          <w:sz w:val="24"/>
          <w:szCs w:val="24"/>
        </w:rPr>
        <w:t>) stocks in the southern Gulf of St. Lawrence. Canadian Science Advisory Secretariat Science Advisory Report 2019/008. 18 pp. http://www.dfo-mpo.gc.ca/csas-sccs/Publications/ScR-RS/2019/2019_008-eng.html.</w:t>
      </w:r>
    </w:p>
    <w:p w14:paraId="36366DCF" w14:textId="77777777" w:rsidR="00F93968" w:rsidRPr="00220C0E" w:rsidRDefault="00F93968" w:rsidP="002F398C">
      <w:pPr>
        <w:pStyle w:val="EndNoteBibliography"/>
        <w:spacing w:after="0"/>
        <w:ind w:left="720" w:hanging="720"/>
        <w:rPr>
          <w:rFonts w:asciiTheme="minorHAnsi" w:hAnsiTheme="minorHAnsi" w:cstheme="minorHAnsi"/>
          <w:sz w:val="24"/>
          <w:szCs w:val="24"/>
        </w:rPr>
      </w:pPr>
      <w:r w:rsidRPr="00220C0E">
        <w:rPr>
          <w:rFonts w:asciiTheme="minorHAnsi" w:hAnsiTheme="minorHAnsi" w:cstheme="minorHAnsi"/>
          <w:sz w:val="24"/>
          <w:szCs w:val="24"/>
        </w:rPr>
        <w:t>DFO. 2019b. Update to 2017 of the fishery indicators for rock crab (</w:t>
      </w:r>
      <w:r w:rsidRPr="00220C0E">
        <w:rPr>
          <w:rFonts w:asciiTheme="minorHAnsi" w:hAnsiTheme="minorHAnsi" w:cstheme="minorHAnsi"/>
          <w:i/>
          <w:sz w:val="24"/>
          <w:szCs w:val="24"/>
        </w:rPr>
        <w:t>Cancer irroratus</w:t>
      </w:r>
      <w:r w:rsidRPr="00220C0E">
        <w:rPr>
          <w:rFonts w:asciiTheme="minorHAnsi" w:hAnsiTheme="minorHAnsi" w:cstheme="minorHAnsi"/>
          <w:sz w:val="24"/>
          <w:szCs w:val="24"/>
        </w:rPr>
        <w:t>) in the southern Gulf of St. Lawrence. Canadian Science Advisory Secretariat Science Advisory Report 2019/007. 10 pp.</w:t>
      </w:r>
    </w:p>
    <w:p w14:paraId="611F7710" w14:textId="77777777" w:rsidR="00F93968" w:rsidRPr="00220C0E" w:rsidRDefault="00F93968" w:rsidP="002F398C">
      <w:pPr>
        <w:pStyle w:val="EndNoteBibliography"/>
        <w:spacing w:after="0"/>
        <w:ind w:left="720" w:hanging="720"/>
        <w:rPr>
          <w:rFonts w:asciiTheme="minorHAnsi" w:hAnsiTheme="minorHAnsi" w:cstheme="minorHAnsi"/>
          <w:sz w:val="24"/>
          <w:szCs w:val="24"/>
        </w:rPr>
      </w:pPr>
      <w:r w:rsidRPr="00220C0E">
        <w:rPr>
          <w:rFonts w:asciiTheme="minorHAnsi" w:hAnsiTheme="minorHAnsi" w:cstheme="minorHAnsi"/>
          <w:sz w:val="24"/>
          <w:szCs w:val="24"/>
        </w:rPr>
        <w:t>Rondeau, A., Comeau, M., and Surette, T. 2014a. Assessment of the American Lobster (</w:t>
      </w:r>
      <w:r w:rsidRPr="00220C0E">
        <w:rPr>
          <w:rFonts w:asciiTheme="minorHAnsi" w:hAnsiTheme="minorHAnsi" w:cstheme="minorHAnsi"/>
          <w:i/>
          <w:sz w:val="24"/>
          <w:szCs w:val="24"/>
        </w:rPr>
        <w:t>Homarus americanus</w:t>
      </w:r>
      <w:r w:rsidRPr="00220C0E">
        <w:rPr>
          <w:rFonts w:asciiTheme="minorHAnsi" w:hAnsiTheme="minorHAnsi" w:cstheme="minorHAnsi"/>
          <w:sz w:val="24"/>
          <w:szCs w:val="24"/>
        </w:rPr>
        <w:t>) stock status in the southern Gulf of St. Lawrence (LFA 23, 24, 25, 26A and 26B). DFO Canadian Science Advisory Secretariat Research Document 2014/036. xii + 92 pp. http://www.dfo-mpo.gc.ca/csas-sccs/Publications/ResDocs-DocRech/2014/2014_036-eng.html.</w:t>
      </w:r>
    </w:p>
    <w:p w14:paraId="0F278AFD" w14:textId="77777777" w:rsidR="00F93968" w:rsidRPr="00220C0E" w:rsidRDefault="00F93968" w:rsidP="002F398C">
      <w:pPr>
        <w:pStyle w:val="EndNoteBibliography"/>
        <w:ind w:left="720" w:hanging="720"/>
        <w:rPr>
          <w:rFonts w:asciiTheme="minorHAnsi" w:hAnsiTheme="minorHAnsi" w:cstheme="minorHAnsi"/>
          <w:sz w:val="24"/>
          <w:szCs w:val="24"/>
        </w:rPr>
      </w:pPr>
      <w:r w:rsidRPr="00220C0E">
        <w:rPr>
          <w:rFonts w:asciiTheme="minorHAnsi" w:hAnsiTheme="minorHAnsi" w:cstheme="minorHAnsi"/>
          <w:sz w:val="24"/>
          <w:szCs w:val="24"/>
        </w:rPr>
        <w:t xml:space="preserve">Rondeau, A., Hanson, J.M., and Comeau, M. 2014b. Rock crab, </w:t>
      </w:r>
      <w:r w:rsidRPr="00220C0E">
        <w:rPr>
          <w:rFonts w:asciiTheme="minorHAnsi" w:hAnsiTheme="minorHAnsi" w:cstheme="minorHAnsi"/>
          <w:i/>
          <w:sz w:val="24"/>
          <w:szCs w:val="24"/>
        </w:rPr>
        <w:t>Cancer irroratus</w:t>
      </w:r>
      <w:r w:rsidRPr="00220C0E">
        <w:rPr>
          <w:rFonts w:asciiTheme="minorHAnsi" w:hAnsiTheme="minorHAnsi" w:cstheme="minorHAnsi"/>
          <w:sz w:val="24"/>
          <w:szCs w:val="24"/>
        </w:rPr>
        <w:t>, fishery and stock status in the southern Gulf of St. Lawrence: LFA 23, 24, 25, 26A and 26B. DFO Canadian Science Advisory Secretariat Research Document 2014/032. vi + 52 pp.</w:t>
      </w:r>
    </w:p>
    <w:p w14:paraId="7B0BCE25" w14:textId="77777777" w:rsidR="00F93968" w:rsidRPr="00220C0E" w:rsidRDefault="00F93968">
      <w:pPr>
        <w:rPr>
          <w:rFonts w:cstheme="minorHAnsi"/>
          <w:sz w:val="24"/>
          <w:szCs w:val="24"/>
          <w:lang w:val="fr-CA"/>
        </w:rPr>
      </w:pPr>
    </w:p>
    <w:p w14:paraId="0EF0512A" w14:textId="77777777" w:rsidR="00907BE3" w:rsidRPr="00220C0E" w:rsidRDefault="00907BE3">
      <w:pPr>
        <w:rPr>
          <w:rFonts w:cstheme="minorHAnsi"/>
          <w:sz w:val="24"/>
          <w:szCs w:val="24"/>
        </w:rPr>
      </w:pPr>
    </w:p>
    <w:sectPr w:rsidR="00907BE3" w:rsidRPr="00220C0E" w:rsidSect="00451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F93968"/>
    <w:rsid w:val="00016A7C"/>
    <w:rsid w:val="000F63D5"/>
    <w:rsid w:val="001A1A2B"/>
    <w:rsid w:val="00220C0E"/>
    <w:rsid w:val="0023331E"/>
    <w:rsid w:val="00280A19"/>
    <w:rsid w:val="002A4AA6"/>
    <w:rsid w:val="002E0017"/>
    <w:rsid w:val="002F1E92"/>
    <w:rsid w:val="00451626"/>
    <w:rsid w:val="005C0B30"/>
    <w:rsid w:val="007D2152"/>
    <w:rsid w:val="008772CA"/>
    <w:rsid w:val="008838F7"/>
    <w:rsid w:val="008B5370"/>
    <w:rsid w:val="00907BE3"/>
    <w:rsid w:val="0094364F"/>
    <w:rsid w:val="009647B0"/>
    <w:rsid w:val="009A0ABA"/>
    <w:rsid w:val="00BB05F7"/>
    <w:rsid w:val="00D129A2"/>
    <w:rsid w:val="00DC5CE7"/>
    <w:rsid w:val="00DF65DA"/>
    <w:rsid w:val="00F93968"/>
    <w:rsid w:val="00FB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4EA8"/>
  <w15:chartTrackingRefBased/>
  <w15:docId w15:val="{AD199BE9-7FDB-4D14-B194-B6020BA0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96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93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Policepardfaut"/>
    <w:rsid w:val="00F93968"/>
  </w:style>
  <w:style w:type="paragraph" w:styleId="Textedebulles">
    <w:name w:val="Balloon Text"/>
    <w:basedOn w:val="Normal"/>
    <w:link w:val="TextedebullesCar"/>
    <w:uiPriority w:val="99"/>
    <w:semiHidden/>
    <w:unhideWhenUsed/>
    <w:rsid w:val="00F9396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93968"/>
    <w:rPr>
      <w:rFonts w:ascii="Segoe UI" w:hAnsi="Segoe UI" w:cs="Segoe UI"/>
      <w:sz w:val="18"/>
      <w:szCs w:val="18"/>
    </w:rPr>
  </w:style>
  <w:style w:type="character" w:styleId="Marquedecommentaire">
    <w:name w:val="annotation reference"/>
    <w:basedOn w:val="Policepardfaut"/>
    <w:uiPriority w:val="99"/>
    <w:semiHidden/>
    <w:unhideWhenUsed/>
    <w:rsid w:val="00F93968"/>
    <w:rPr>
      <w:sz w:val="16"/>
      <w:szCs w:val="16"/>
    </w:rPr>
  </w:style>
  <w:style w:type="paragraph" w:styleId="Commentaire">
    <w:name w:val="annotation text"/>
    <w:basedOn w:val="Normal"/>
    <w:link w:val="CommentaireCar"/>
    <w:uiPriority w:val="99"/>
    <w:semiHidden/>
    <w:unhideWhenUsed/>
    <w:rsid w:val="00F93968"/>
    <w:pPr>
      <w:spacing w:line="240" w:lineRule="auto"/>
    </w:pPr>
    <w:rPr>
      <w:sz w:val="20"/>
      <w:szCs w:val="20"/>
    </w:rPr>
  </w:style>
  <w:style w:type="character" w:customStyle="1" w:styleId="CommentaireCar">
    <w:name w:val="Commentaire Car"/>
    <w:basedOn w:val="Policepardfaut"/>
    <w:link w:val="Commentaire"/>
    <w:uiPriority w:val="99"/>
    <w:semiHidden/>
    <w:rsid w:val="00F93968"/>
    <w:rPr>
      <w:sz w:val="20"/>
      <w:szCs w:val="20"/>
    </w:rPr>
  </w:style>
  <w:style w:type="paragraph" w:styleId="Objetducommentaire">
    <w:name w:val="annotation subject"/>
    <w:basedOn w:val="Commentaire"/>
    <w:next w:val="Commentaire"/>
    <w:link w:val="ObjetducommentaireCar"/>
    <w:uiPriority w:val="99"/>
    <w:semiHidden/>
    <w:unhideWhenUsed/>
    <w:rsid w:val="00F93968"/>
    <w:rPr>
      <w:b/>
      <w:bCs/>
    </w:rPr>
  </w:style>
  <w:style w:type="character" w:customStyle="1" w:styleId="ObjetducommentaireCar">
    <w:name w:val="Objet du commentaire Car"/>
    <w:basedOn w:val="CommentaireCar"/>
    <w:link w:val="Objetducommentaire"/>
    <w:uiPriority w:val="99"/>
    <w:semiHidden/>
    <w:rsid w:val="00F93968"/>
    <w:rPr>
      <w:b/>
      <w:bCs/>
      <w:sz w:val="20"/>
      <w:szCs w:val="20"/>
    </w:rPr>
  </w:style>
  <w:style w:type="paragraph" w:styleId="Rvision">
    <w:name w:val="Revision"/>
    <w:hidden/>
    <w:uiPriority w:val="99"/>
    <w:semiHidden/>
    <w:rsid w:val="00F93968"/>
    <w:pPr>
      <w:spacing w:after="0" w:line="240" w:lineRule="auto"/>
    </w:pPr>
  </w:style>
  <w:style w:type="character" w:styleId="Lienhypertexte">
    <w:name w:val="Hyperlink"/>
    <w:basedOn w:val="Policepardfaut"/>
    <w:uiPriority w:val="99"/>
    <w:unhideWhenUsed/>
    <w:rsid w:val="00F93968"/>
    <w:rPr>
      <w:color w:val="0563C1" w:themeColor="hyperlink"/>
      <w:u w:val="single"/>
    </w:rPr>
  </w:style>
  <w:style w:type="paragraph" w:customStyle="1" w:styleId="EndNoteBibliographyTitle">
    <w:name w:val="EndNote Bibliography Title"/>
    <w:basedOn w:val="Normal"/>
    <w:link w:val="EndNoteBibliographyTitleChar"/>
    <w:rsid w:val="00F93968"/>
    <w:pPr>
      <w:spacing w:after="0"/>
      <w:jc w:val="center"/>
    </w:pPr>
    <w:rPr>
      <w:rFonts w:ascii="Calibri" w:hAnsi="Calibri" w:cs="Calibri"/>
      <w:noProof/>
    </w:rPr>
  </w:style>
  <w:style w:type="character" w:customStyle="1" w:styleId="EndNoteBibliographyTitleChar">
    <w:name w:val="EndNote Bibliography Title Char"/>
    <w:basedOn w:val="Policepardfaut"/>
    <w:link w:val="EndNoteBibliographyTitle"/>
    <w:rsid w:val="00F93968"/>
    <w:rPr>
      <w:rFonts w:ascii="Calibri" w:hAnsi="Calibri" w:cs="Calibri"/>
      <w:noProof/>
    </w:rPr>
  </w:style>
  <w:style w:type="paragraph" w:customStyle="1" w:styleId="EndNoteBibliography">
    <w:name w:val="EndNote Bibliography"/>
    <w:basedOn w:val="Normal"/>
    <w:link w:val="EndNoteBibliographyChar"/>
    <w:rsid w:val="00F93968"/>
    <w:pPr>
      <w:spacing w:line="240" w:lineRule="auto"/>
    </w:pPr>
    <w:rPr>
      <w:rFonts w:ascii="Calibri" w:hAnsi="Calibri" w:cs="Calibri"/>
      <w:noProof/>
    </w:rPr>
  </w:style>
  <w:style w:type="character" w:customStyle="1" w:styleId="EndNoteBibliographyChar">
    <w:name w:val="EndNote Bibliography Char"/>
    <w:basedOn w:val="Policepardfaut"/>
    <w:link w:val="EndNoteBibliography"/>
    <w:rsid w:val="00F93968"/>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F5A62-41EA-4F1D-9A72-AC4B2118C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1287</Words>
  <Characters>7338</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DFO-MPO</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Asselin, Natalie</dc:creator>
  <cp:keywords/>
  <dc:description/>
  <cp:lastModifiedBy>Ouellet, Maxime</cp:lastModifiedBy>
  <cp:revision>23</cp:revision>
  <dcterms:created xsi:type="dcterms:W3CDTF">2020-10-23T17:35:00Z</dcterms:created>
  <dcterms:modified xsi:type="dcterms:W3CDTF">2020-11-18T17:21:00Z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2020-11-18T17:15:47Z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957adcca-6de7-4c0b-b536-0000242e4387</vt:lpwstr>
  </property>
</Properties>
</file>