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D2AC" w14:textId="59E17713" w:rsidR="00694C52" w:rsidRPr="0097166F" w:rsidRDefault="00694C52" w:rsidP="005A6047">
      <w:pPr>
        <w:ind w:left="360" w:hanging="360"/>
        <w:rPr>
          <w:b/>
          <w:bCs/>
        </w:rPr>
      </w:pPr>
      <w:r w:rsidRPr="0097166F">
        <w:rPr>
          <w:b/>
          <w:bCs/>
        </w:rPr>
        <w:t>Methodology:</w:t>
      </w:r>
    </w:p>
    <w:p w14:paraId="45821665" w14:textId="77777777" w:rsid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 are from the annual snow crab survey.</w:t>
      </w:r>
    </w:p>
    <w:p w14:paraId="633428F4" w14:textId="77777777" w:rsid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Female crab were classified into immature, pubescent, primiparous and multiparous maturity stages. Mature females (primiparous and multiparous) were identified by their enlarged abdomens and the presence of eggs. </w:t>
      </w:r>
    </w:p>
    <w:p w14:paraId="2AEE1C3D" w14:textId="73D55FED" w:rsid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>P</w:t>
      </w:r>
      <w:r w:rsidRPr="00CA5723">
        <w:rPr>
          <w:b/>
          <w:bCs/>
          <w:color w:val="595959" w:themeColor="text1" w:themeTint="A6"/>
        </w:rPr>
        <w:t xml:space="preserve">ubescent </w:t>
      </w:r>
      <w:r w:rsidRPr="005A6047">
        <w:rPr>
          <w:color w:val="595959" w:themeColor="text1" w:themeTint="A6"/>
        </w:rPr>
        <w:t xml:space="preserve">females </w:t>
      </w:r>
      <w:r w:rsidRPr="005A6047">
        <w:rPr>
          <w:color w:val="595959" w:themeColor="text1" w:themeTint="A6"/>
        </w:rPr>
        <w:t>w</w:t>
      </w:r>
      <w:r>
        <w:rPr>
          <w:color w:val="595959" w:themeColor="text1" w:themeTint="A6"/>
        </w:rPr>
        <w:t xml:space="preserve">ere identified based on direct observation of an enlarged, orange-coloured </w:t>
      </w:r>
      <w:r w:rsidRPr="00CA5723">
        <w:rPr>
          <w:color w:val="595959" w:themeColor="text1" w:themeTint="A6"/>
        </w:rPr>
        <w:t>developing gonad</w:t>
      </w:r>
      <w:r>
        <w:rPr>
          <w:color w:val="595959" w:themeColor="text1" w:themeTint="A6"/>
        </w:rPr>
        <w:t>. In contrast, immature females had a small, white or beige gonad.</w:t>
      </w:r>
    </w:p>
    <w:p w14:paraId="0FC59B93" w14:textId="13F13350" w:rsidR="005A6047" w:rsidRPr="003A1765" w:rsidRDefault="005A6047" w:rsidP="007343C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Primiparous </w:t>
      </w:r>
      <w:r w:rsidRPr="005A6047">
        <w:rPr>
          <w:color w:val="595959" w:themeColor="text1" w:themeTint="A6"/>
        </w:rPr>
        <w:t>and multiparous females were identified by their carapace condition</w:t>
      </w:r>
      <w:r>
        <w:rPr>
          <w:color w:val="595959" w:themeColor="text1" w:themeTint="A6"/>
        </w:rPr>
        <w:t xml:space="preserve">, i.e. </w:t>
      </w:r>
      <w:r w:rsidRPr="005A6047">
        <w:rPr>
          <w:color w:val="595959" w:themeColor="text1" w:themeTint="A6"/>
        </w:rPr>
        <w:t>new-shelled</w:t>
      </w:r>
      <w:r>
        <w:rPr>
          <w:color w:val="595959" w:themeColor="text1" w:themeTint="A6"/>
        </w:rPr>
        <w:t xml:space="preserve"> or old-shelled, respectively.</w:t>
      </w:r>
    </w:p>
    <w:p w14:paraId="48FA42C4" w14:textId="3A6A016E" w:rsidR="007343CF" w:rsidRDefault="007343CF" w:rsidP="007343CF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Figures : </w:t>
      </w:r>
    </w:p>
    <w:p w14:paraId="016FDDC8" w14:textId="776F3297" w:rsidR="007343CF" w:rsidRPr="007343CF" w:rsidRDefault="007343CF" w:rsidP="007343CF">
      <w:pPr>
        <w:pStyle w:val="ListParagraph"/>
        <w:numPr>
          <w:ilvl w:val="0"/>
          <w:numId w:val="1"/>
        </w:numPr>
        <w:rPr>
          <w:b/>
          <w:bCs/>
          <w:color w:val="595959" w:themeColor="text1" w:themeTint="A6"/>
        </w:rPr>
      </w:pPr>
      <w:r>
        <w:rPr>
          <w:color w:val="595959" w:themeColor="text1" w:themeTint="A6"/>
        </w:rPr>
        <w:t>Y</w:t>
      </w:r>
      <w:r w:rsidRPr="007343CF">
        <w:rPr>
          <w:color w:val="595959" w:themeColor="text1" w:themeTint="A6"/>
        </w:rPr>
        <w:t>ear to year comparisons of immature, pubescent and primiparous size-frequencies.</w:t>
      </w:r>
    </w:p>
    <w:p w14:paraId="09A7EF37" w14:textId="233F8986" w:rsidR="007343CF" w:rsidRPr="007343CF" w:rsidRDefault="007343CF" w:rsidP="007343CF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7343CF">
        <w:rPr>
          <w:color w:val="595959" w:themeColor="text1" w:themeTint="A6"/>
        </w:rPr>
        <w:t xml:space="preserve">Annual maps of immature instar VII, </w:t>
      </w:r>
      <w:r>
        <w:rPr>
          <w:color w:val="595959" w:themeColor="text1" w:themeTint="A6"/>
        </w:rPr>
        <w:t>immature instar VIII and pubescent instar VIII.</w:t>
      </w:r>
    </w:p>
    <w:p w14:paraId="621F1293" w14:textId="70F321F1" w:rsidR="005A6047" w:rsidRPr="005A6047" w:rsidRDefault="007343CF" w:rsidP="005A6047">
      <w:pPr>
        <w:rPr>
          <w:b/>
          <w:bCs/>
          <w:color w:val="595959" w:themeColor="text1" w:themeTint="A6"/>
        </w:rPr>
      </w:pPr>
      <w:r w:rsidRPr="007343CF">
        <w:rPr>
          <w:b/>
          <w:bCs/>
          <w:color w:val="595959" w:themeColor="text1" w:themeTint="A6"/>
        </w:rPr>
        <w:t>Observations:</w:t>
      </w:r>
    </w:p>
    <w:p w14:paraId="00ADDFEB" w14:textId="786BFEE8" w:rsidR="005A6047" w:rsidRDefault="005A6047" w:rsidP="005A6047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>Immature females are made up of instars I through VIII. There are very few instar IX.</w:t>
      </w:r>
    </w:p>
    <w:p w14:paraId="18935073" w14:textId="366FA889" w:rsidR="005A6047" w:rsidRDefault="005A6047" w:rsidP="005A6047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Pubescent females are </w:t>
      </w:r>
      <w:r>
        <w:rPr>
          <w:color w:val="595959" w:themeColor="text1" w:themeTint="A6"/>
        </w:rPr>
        <w:t xml:space="preserve">mainly </w:t>
      </w:r>
      <w:r>
        <w:rPr>
          <w:color w:val="595959" w:themeColor="text1" w:themeTint="A6"/>
        </w:rPr>
        <w:t>made up of instar</w:t>
      </w:r>
      <w:r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VIII and </w:t>
      </w:r>
      <w:r>
        <w:rPr>
          <w:color w:val="595959" w:themeColor="text1" w:themeTint="A6"/>
        </w:rPr>
        <w:t>IX</w:t>
      </w:r>
      <w:r>
        <w:rPr>
          <w:color w:val="595959" w:themeColor="text1" w:themeTint="A6"/>
        </w:rPr>
        <w:t>. There are very few instar X.</w:t>
      </w:r>
    </w:p>
    <w:p w14:paraId="6F22386B" w14:textId="668BB4B0" w:rsidR="005A6047" w:rsidRPr="005A6047" w:rsidRDefault="005A6047" w:rsidP="005A6047">
      <w:pPr>
        <w:pStyle w:val="ListParagraph"/>
        <w:numPr>
          <w:ilvl w:val="0"/>
          <w:numId w:val="4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Primiparous females </w:t>
      </w:r>
      <w:r>
        <w:rPr>
          <w:color w:val="595959" w:themeColor="text1" w:themeTint="A6"/>
        </w:rPr>
        <w:t xml:space="preserve">are mainly made up of instars </w:t>
      </w:r>
      <w:r>
        <w:rPr>
          <w:color w:val="595959" w:themeColor="text1" w:themeTint="A6"/>
        </w:rPr>
        <w:t>IX</w:t>
      </w:r>
      <w:r>
        <w:rPr>
          <w:color w:val="595959" w:themeColor="text1" w:themeTint="A6"/>
        </w:rPr>
        <w:t xml:space="preserve"> and X. There are very few instar X</w:t>
      </w:r>
      <w:r>
        <w:rPr>
          <w:color w:val="595959" w:themeColor="text1" w:themeTint="A6"/>
        </w:rPr>
        <w:t>I</w:t>
      </w:r>
      <w:r>
        <w:rPr>
          <w:color w:val="595959" w:themeColor="text1" w:themeTint="A6"/>
        </w:rPr>
        <w:t>.</w:t>
      </w:r>
    </w:p>
    <w:p w14:paraId="39BC880C" w14:textId="681E6BCC" w:rsidR="007343CF" w:rsidRPr="005A6047" w:rsidRDefault="005A6047" w:rsidP="005A6047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The size-distribution of primiparous females echoes that of pubescent females from the previous year. The proportions of primiparous instars IX and X are roughly the same as the proportion of pubescent instars VIII and IX from the previous year</w:t>
      </w:r>
      <w:r>
        <w:rPr>
          <w:color w:val="595959" w:themeColor="text1" w:themeTint="A6"/>
        </w:rPr>
        <w:t>.</w:t>
      </w:r>
    </w:p>
    <w:p w14:paraId="5624FE2C" w14:textId="77777777" w:rsidR="007343CF" w:rsidRDefault="007343CF" w:rsidP="003A1765">
      <w:pPr>
        <w:rPr>
          <w:b/>
          <w:bCs/>
          <w:color w:val="595959" w:themeColor="text1" w:themeTint="A6"/>
        </w:rPr>
      </w:pPr>
    </w:p>
    <w:p w14:paraId="1BB923AC" w14:textId="26400CDF" w:rsidR="00A01873" w:rsidRDefault="00A01873" w:rsidP="0096775A">
      <w:pPr>
        <w:ind w:left="360" w:hanging="360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Female snow crab maturity stages and instar growth dynamics:</w:t>
      </w:r>
    </w:p>
    <w:p w14:paraId="42D445C0" w14:textId="2946DEB6" w:rsidR="007343CF" w:rsidRPr="007343CF" w:rsidRDefault="007343CF" w:rsidP="007343CF">
      <w:pPr>
        <w:rPr>
          <w:b/>
          <w:bCs/>
          <w:color w:val="595959" w:themeColor="text1" w:themeTint="A6"/>
        </w:rPr>
      </w:pPr>
      <w:r w:rsidRPr="007343CF">
        <w:rPr>
          <w:b/>
          <w:bCs/>
          <w:color w:val="595959" w:themeColor="text1" w:themeTint="A6"/>
        </w:rPr>
        <w:t>Instar composition:</w:t>
      </w:r>
    </w:p>
    <w:p w14:paraId="5FF1EF21" w14:textId="75330F06" w:rsidR="00A01873" w:rsidRDefault="00A01873" w:rsidP="00A0187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A01873">
        <w:rPr>
          <w:color w:val="595959" w:themeColor="text1" w:themeTint="A6"/>
        </w:rPr>
        <w:t>Immature females</w:t>
      </w:r>
      <w:r>
        <w:rPr>
          <w:color w:val="595959" w:themeColor="text1" w:themeTint="A6"/>
        </w:rPr>
        <w:t xml:space="preserve"> are composed of instars I through VIII.</w:t>
      </w:r>
    </w:p>
    <w:p w14:paraId="3623D914" w14:textId="5AB069A3" w:rsidR="00A01873" w:rsidRDefault="00A01873" w:rsidP="00A01873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Pubescent females only contain instar VIII and IX</w:t>
      </w:r>
      <w:r w:rsidR="007343CF">
        <w:rPr>
          <w:color w:val="595959" w:themeColor="text1" w:themeTint="A6"/>
        </w:rPr>
        <w:t xml:space="preserve"> (and a few instar X)</w:t>
      </w:r>
      <w:r>
        <w:rPr>
          <w:color w:val="595959" w:themeColor="text1" w:themeTint="A6"/>
        </w:rPr>
        <w:t>.</w:t>
      </w:r>
    </w:p>
    <w:p w14:paraId="11DE5CE2" w14:textId="00573F57" w:rsidR="007343CF" w:rsidRDefault="00A01873" w:rsidP="007343CF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Mature female </w:t>
      </w:r>
      <w:r w:rsidR="007343CF">
        <w:rPr>
          <w:color w:val="595959" w:themeColor="text1" w:themeTint="A6"/>
        </w:rPr>
        <w:t xml:space="preserve">only contain instar </w:t>
      </w:r>
      <w:r w:rsidR="007343CF">
        <w:rPr>
          <w:color w:val="595959" w:themeColor="text1" w:themeTint="A6"/>
        </w:rPr>
        <w:t>IX</w:t>
      </w:r>
      <w:r w:rsidR="007343CF">
        <w:rPr>
          <w:color w:val="595959" w:themeColor="text1" w:themeTint="A6"/>
        </w:rPr>
        <w:t xml:space="preserve"> and X</w:t>
      </w:r>
      <w:r w:rsidR="007343CF">
        <w:rPr>
          <w:color w:val="595959" w:themeColor="text1" w:themeTint="A6"/>
        </w:rPr>
        <w:t xml:space="preserve"> </w:t>
      </w:r>
      <w:r w:rsidR="007343CF">
        <w:rPr>
          <w:color w:val="595959" w:themeColor="text1" w:themeTint="A6"/>
        </w:rPr>
        <w:t>(and a few instar X</w:t>
      </w:r>
      <w:r w:rsidR="007343CF">
        <w:rPr>
          <w:color w:val="595959" w:themeColor="text1" w:themeTint="A6"/>
        </w:rPr>
        <w:t>I</w:t>
      </w:r>
      <w:r w:rsidR="007343CF">
        <w:rPr>
          <w:color w:val="595959" w:themeColor="text1" w:themeTint="A6"/>
        </w:rPr>
        <w:t>).</w:t>
      </w:r>
    </w:p>
    <w:p w14:paraId="2E25A4E1" w14:textId="1A6AADE9" w:rsidR="007343CF" w:rsidRPr="007343CF" w:rsidRDefault="007343CF" w:rsidP="007343CF">
      <w:pPr>
        <w:rPr>
          <w:b/>
          <w:bCs/>
          <w:color w:val="595959" w:themeColor="text1" w:themeTint="A6"/>
        </w:rPr>
      </w:pPr>
      <w:r w:rsidRPr="007343CF">
        <w:rPr>
          <w:b/>
          <w:bCs/>
          <w:color w:val="595959" w:themeColor="text1" w:themeTint="A6"/>
        </w:rPr>
        <w:t>Maturity transitions:</w:t>
      </w:r>
    </w:p>
    <w:p w14:paraId="23A2C60D" w14:textId="1F407082" w:rsidR="00A01873" w:rsidRDefault="007343CF" w:rsidP="007343CF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A portion of immature instar VII and all immature instar VIII moult to pubescent instar VIII and IX, respectively.</w:t>
      </w:r>
    </w:p>
    <w:p w14:paraId="0628DF88" w14:textId="238BE339" w:rsidR="007343CF" w:rsidRPr="00A01873" w:rsidRDefault="007343CF" w:rsidP="007343CF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Pubescent instars VIII and IX grow to mature (primiparous) instars IX and X, respectively.</w:t>
      </w:r>
    </w:p>
    <w:p w14:paraId="4FB340C6" w14:textId="41568A77" w:rsidR="00596B4A" w:rsidRDefault="00596B4A" w:rsidP="00596B4A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size of pubescent female instar VIII are larger than immature instar VIII. </w:t>
      </w:r>
    </w:p>
    <w:p w14:paraId="300AC17C" w14:textId="2FAD4E22" w:rsidR="00596B4A" w:rsidRDefault="00596B4A" w:rsidP="00596B4A">
      <w:pPr>
        <w:rPr>
          <w:color w:val="595959" w:themeColor="text1" w:themeTint="A6"/>
        </w:rPr>
      </w:pPr>
      <w:r w:rsidRPr="00596B4A">
        <w:rPr>
          <w:b/>
          <w:bCs/>
          <w:color w:val="595959" w:themeColor="text1" w:themeTint="A6"/>
        </w:rPr>
        <w:t>Hypothesis 1</w:t>
      </w:r>
      <w:r>
        <w:rPr>
          <w:color w:val="595959" w:themeColor="text1" w:themeTint="A6"/>
        </w:rPr>
        <w:t xml:space="preserve"> : The pubescent growth rate I</w:t>
      </w:r>
      <w:r>
        <w:rPr>
          <w:color w:val="595959" w:themeColor="text1" w:themeTint="A6"/>
          <w:vertAlign w:val="subscript"/>
        </w:rPr>
        <w:t>VII</w:t>
      </w:r>
      <w:r>
        <w:rPr>
          <w:color w:val="595959" w:themeColor="text1" w:themeTint="A6"/>
        </w:rPr>
        <w:t xml:space="preserve"> to P</w:t>
      </w:r>
      <w:r>
        <w:rPr>
          <w:color w:val="595959" w:themeColor="text1" w:themeTint="A6"/>
          <w:vertAlign w:val="subscript"/>
        </w:rPr>
        <w:t>VIII</w:t>
      </w:r>
      <w:r>
        <w:rPr>
          <w:color w:val="595959" w:themeColor="text1" w:themeTint="A6"/>
        </w:rPr>
        <w:t xml:space="preserve"> is higher than the </w:t>
      </w:r>
      <w:r>
        <w:rPr>
          <w:color w:val="595959" w:themeColor="text1" w:themeTint="A6"/>
        </w:rPr>
        <w:t>I</w:t>
      </w:r>
      <w:r>
        <w:rPr>
          <w:color w:val="595959" w:themeColor="text1" w:themeTint="A6"/>
          <w:vertAlign w:val="subscript"/>
        </w:rPr>
        <w:t>VII</w:t>
      </w:r>
      <w:r>
        <w:rPr>
          <w:color w:val="595959" w:themeColor="text1" w:themeTint="A6"/>
        </w:rPr>
        <w:t xml:space="preserve"> to </w:t>
      </w:r>
      <w:r>
        <w:rPr>
          <w:color w:val="595959" w:themeColor="text1" w:themeTint="A6"/>
        </w:rPr>
        <w:t>I</w:t>
      </w:r>
      <w:r>
        <w:rPr>
          <w:color w:val="595959" w:themeColor="text1" w:themeTint="A6"/>
          <w:vertAlign w:val="subscript"/>
        </w:rPr>
        <w:t>VIII</w:t>
      </w:r>
      <w:r>
        <w:rPr>
          <w:color w:val="595959" w:themeColor="text1" w:themeTint="A6"/>
        </w:rPr>
        <w:t xml:space="preserve"> growth rate.</w:t>
      </w:r>
    </w:p>
    <w:p w14:paraId="269B3C34" w14:textId="2E7F503C" w:rsidR="00596B4A" w:rsidRDefault="00596B4A" w:rsidP="00596B4A">
      <w:pPr>
        <w:rPr>
          <w:color w:val="595959" w:themeColor="text1" w:themeTint="A6"/>
        </w:rPr>
      </w:pPr>
      <w:r w:rsidRPr="00596B4A">
        <w:rPr>
          <w:b/>
          <w:bCs/>
          <w:color w:val="595959" w:themeColor="text1" w:themeTint="A6"/>
        </w:rPr>
        <w:t xml:space="preserve">Hypothesis </w:t>
      </w:r>
      <w:r>
        <w:rPr>
          <w:b/>
          <w:bCs/>
          <w:color w:val="595959" w:themeColor="text1" w:themeTint="A6"/>
        </w:rPr>
        <w:t>2</w:t>
      </w:r>
      <w:r>
        <w:rPr>
          <w:color w:val="595959" w:themeColor="text1" w:themeTint="A6"/>
        </w:rPr>
        <w:t xml:space="preserve"> : </w:t>
      </w:r>
      <w:r>
        <w:rPr>
          <w:color w:val="595959" w:themeColor="text1" w:themeTint="A6"/>
        </w:rPr>
        <w:t xml:space="preserve">Larger animals within </w:t>
      </w:r>
      <w:r>
        <w:rPr>
          <w:color w:val="595959" w:themeColor="text1" w:themeTint="A6"/>
        </w:rPr>
        <w:t>I</w:t>
      </w:r>
      <w:r>
        <w:rPr>
          <w:color w:val="595959" w:themeColor="text1" w:themeTint="A6"/>
          <w:vertAlign w:val="subscript"/>
        </w:rPr>
        <w:t>VII</w:t>
      </w:r>
      <w:r>
        <w:rPr>
          <w:color w:val="595959" w:themeColor="text1" w:themeTint="A6"/>
        </w:rPr>
        <w:t xml:space="preserve"> are more likely to grow to pubescence than smaller animals.  </w:t>
      </w:r>
    </w:p>
    <w:p w14:paraId="47840B2B" w14:textId="259B4D69" w:rsidR="00596B4A" w:rsidRDefault="00596B4A" w:rsidP="00596B4A">
      <w:pPr>
        <w:rPr>
          <w:color w:val="595959" w:themeColor="text1" w:themeTint="A6"/>
        </w:rPr>
      </w:pPr>
      <w:r w:rsidRPr="00596B4A">
        <w:rPr>
          <w:b/>
          <w:bCs/>
          <w:color w:val="595959" w:themeColor="text1" w:themeTint="A6"/>
        </w:rPr>
        <w:t xml:space="preserve">Hypothesis </w:t>
      </w:r>
      <w:r>
        <w:rPr>
          <w:b/>
          <w:bCs/>
          <w:color w:val="595959" w:themeColor="text1" w:themeTint="A6"/>
        </w:rPr>
        <w:t>3</w:t>
      </w:r>
      <w:r>
        <w:rPr>
          <w:color w:val="595959" w:themeColor="text1" w:themeTint="A6"/>
        </w:rPr>
        <w:t xml:space="preserve"> :</w:t>
      </w:r>
      <w:r>
        <w:rPr>
          <w:color w:val="595959" w:themeColor="text1" w:themeTint="A6"/>
        </w:rPr>
        <w:t xml:space="preserve"> Local growth differences and changes in spatial distribution underlie the apparent global differences.</w:t>
      </w:r>
    </w:p>
    <w:p w14:paraId="51F56FF6" w14:textId="4FD520C2" w:rsidR="00A01873" w:rsidRDefault="00A01873" w:rsidP="00596B4A">
      <w:pPr>
        <w:rPr>
          <w:color w:val="595959" w:themeColor="text1" w:themeTint="A6"/>
        </w:rPr>
      </w:pPr>
    </w:p>
    <w:p w14:paraId="3E569E00" w14:textId="77777777" w:rsidR="00A01873" w:rsidRPr="00596B4A" w:rsidRDefault="00A01873" w:rsidP="00596B4A">
      <w:pPr>
        <w:rPr>
          <w:color w:val="595959" w:themeColor="text1" w:themeTint="A6"/>
        </w:rPr>
      </w:pPr>
    </w:p>
    <w:sectPr w:rsidR="00A01873" w:rsidRPr="00596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FC4E" w14:textId="77777777" w:rsidR="00936316" w:rsidRDefault="00936316" w:rsidP="00652E48">
      <w:pPr>
        <w:spacing w:after="0" w:line="240" w:lineRule="auto"/>
      </w:pPr>
      <w:r>
        <w:separator/>
      </w:r>
    </w:p>
  </w:endnote>
  <w:endnote w:type="continuationSeparator" w:id="0">
    <w:p w14:paraId="0CDB1BE1" w14:textId="77777777" w:rsidR="00936316" w:rsidRDefault="00936316" w:rsidP="0065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B120B" w14:textId="77777777" w:rsidR="00936316" w:rsidRDefault="00936316" w:rsidP="00652E48">
      <w:pPr>
        <w:spacing w:after="0" w:line="240" w:lineRule="auto"/>
      </w:pPr>
      <w:r>
        <w:separator/>
      </w:r>
    </w:p>
  </w:footnote>
  <w:footnote w:type="continuationSeparator" w:id="0">
    <w:p w14:paraId="51C4118A" w14:textId="77777777" w:rsidR="00936316" w:rsidRDefault="00936316" w:rsidP="0065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2F07"/>
    <w:multiLevelType w:val="hybridMultilevel"/>
    <w:tmpl w:val="B0E24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D14C5"/>
    <w:multiLevelType w:val="hybridMultilevel"/>
    <w:tmpl w:val="9AB0D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B3829"/>
    <w:multiLevelType w:val="hybridMultilevel"/>
    <w:tmpl w:val="76D41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F81074"/>
    <w:multiLevelType w:val="hybridMultilevel"/>
    <w:tmpl w:val="D3225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2821344">
    <w:abstractNumId w:val="1"/>
  </w:num>
  <w:num w:numId="2" w16cid:durableId="1846935926">
    <w:abstractNumId w:val="0"/>
  </w:num>
  <w:num w:numId="3" w16cid:durableId="980884000">
    <w:abstractNumId w:val="3"/>
  </w:num>
  <w:num w:numId="4" w16cid:durableId="116796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5A"/>
    <w:rsid w:val="003A1765"/>
    <w:rsid w:val="00596B4A"/>
    <w:rsid w:val="005A6047"/>
    <w:rsid w:val="00652E48"/>
    <w:rsid w:val="00694C52"/>
    <w:rsid w:val="007343CF"/>
    <w:rsid w:val="00936316"/>
    <w:rsid w:val="0096775A"/>
    <w:rsid w:val="0097166F"/>
    <w:rsid w:val="00A01873"/>
    <w:rsid w:val="00CA5723"/>
    <w:rsid w:val="00DF7C9B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513B4"/>
  <w15:chartTrackingRefBased/>
  <w15:docId w15:val="{E8466249-E371-4A50-8823-65EC3532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 Surette</dc:creator>
  <cp:keywords/>
  <dc:description/>
  <cp:lastModifiedBy>Surette, Tobie</cp:lastModifiedBy>
  <cp:revision>5</cp:revision>
  <dcterms:created xsi:type="dcterms:W3CDTF">2023-04-19T17:43:00Z</dcterms:created>
  <dcterms:modified xsi:type="dcterms:W3CDTF">2023-04-19T18:07:00Z</dcterms:modified>
</cp:coreProperties>
</file>