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0"/>
        <w:gridCol w:w="1260"/>
        <w:gridCol w:w="922"/>
        <w:gridCol w:w="5748"/>
      </w:tblGrid>
      <w:tr w:rsidR="00F436AB" w14:paraId="7F61F217" w14:textId="77777777" w:rsidTr="00E36F2A">
        <w:trPr>
          <w:trHeight w:val="350"/>
        </w:trPr>
        <w:tc>
          <w:tcPr>
            <w:tcW w:w="5020" w:type="dxa"/>
          </w:tcPr>
          <w:p w14:paraId="1B339BD0" w14:textId="0BBA5437" w:rsidR="00F436AB" w:rsidRPr="005A75F0" w:rsidRDefault="00F436AB">
            <w:pPr>
              <w:rPr>
                <w:b/>
                <w:bCs/>
              </w:rPr>
            </w:pPr>
            <w:r w:rsidRPr="005A75F0">
              <w:rPr>
                <w:b/>
                <w:bCs/>
              </w:rPr>
              <w:t>Component</w:t>
            </w:r>
          </w:p>
        </w:tc>
        <w:tc>
          <w:tcPr>
            <w:tcW w:w="1260" w:type="dxa"/>
          </w:tcPr>
          <w:p w14:paraId="25ED2A12" w14:textId="34476938" w:rsidR="00F436AB" w:rsidRPr="005A75F0" w:rsidRDefault="00F436AB">
            <w:pPr>
              <w:rPr>
                <w:b/>
                <w:bCs/>
              </w:rPr>
            </w:pPr>
            <w:r w:rsidRPr="005A75F0">
              <w:rPr>
                <w:b/>
                <w:bCs/>
              </w:rPr>
              <w:t>Parameter</w:t>
            </w:r>
          </w:p>
        </w:tc>
        <w:tc>
          <w:tcPr>
            <w:tcW w:w="922" w:type="dxa"/>
          </w:tcPr>
          <w:p w14:paraId="1673AE29" w14:textId="0A75DDCA" w:rsidR="00F436AB" w:rsidRPr="005A75F0" w:rsidRDefault="00F436AB" w:rsidP="00E36F2A">
            <w:pPr>
              <w:jc w:val="center"/>
              <w:rPr>
                <w:b/>
                <w:bCs/>
              </w:rPr>
            </w:pPr>
            <w:r w:rsidRPr="005A75F0">
              <w:rPr>
                <w:b/>
                <w:bCs/>
              </w:rPr>
              <w:t>Type</w:t>
            </w:r>
          </w:p>
        </w:tc>
        <w:tc>
          <w:tcPr>
            <w:tcW w:w="5748" w:type="dxa"/>
          </w:tcPr>
          <w:p w14:paraId="6EED2885" w14:textId="3BE90D48" w:rsidR="00F436AB" w:rsidRPr="005A75F0" w:rsidRDefault="00F436AB">
            <w:pPr>
              <w:rPr>
                <w:b/>
                <w:bCs/>
              </w:rPr>
            </w:pPr>
            <w:r w:rsidRPr="005A75F0">
              <w:rPr>
                <w:b/>
                <w:bCs/>
              </w:rPr>
              <w:t>Description</w:t>
            </w:r>
          </w:p>
        </w:tc>
      </w:tr>
      <w:tr w:rsidR="00F436AB" w14:paraId="2A4EB405" w14:textId="77777777" w:rsidTr="00E36F2A">
        <w:trPr>
          <w:trHeight w:val="350"/>
        </w:trPr>
        <w:tc>
          <w:tcPr>
            <w:tcW w:w="5020" w:type="dxa"/>
            <w:vMerge w:val="restart"/>
          </w:tcPr>
          <w:p w14:paraId="6B9148ED" w14:textId="73543959" w:rsidR="00F436AB" w:rsidRPr="005A75F0" w:rsidRDefault="00F436AB">
            <w:pPr>
              <w:rPr>
                <w:b/>
                <w:bCs/>
              </w:rPr>
            </w:pPr>
            <w:r w:rsidRPr="005A75F0">
              <w:rPr>
                <w:b/>
                <w:bCs/>
              </w:rPr>
              <w:t>Growth</w:t>
            </w:r>
            <w:r>
              <w:rPr>
                <w:b/>
                <w:bCs/>
              </w:rPr>
              <w:t xml:space="preserve">: </w:t>
            </w:r>
            <w:r>
              <w:t>Smoothed piecewise linear model, discretized to a transition matrix.</w:t>
            </w:r>
          </w:p>
        </w:tc>
        <w:tc>
          <w:tcPr>
            <w:tcW w:w="1260" w:type="dxa"/>
          </w:tcPr>
          <w:p w14:paraId="3FA78D94" w14:textId="47D991B3" w:rsidR="00F436AB" w:rsidRDefault="00F436A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9EF4CBF" w14:textId="58B8BFEA" w:rsidR="00F436AB" w:rsidRDefault="00F436AB" w:rsidP="00E36F2A">
            <w:pPr>
              <w:jc w:val="center"/>
            </w:pPr>
            <w:r>
              <w:t>fixed</w:t>
            </w:r>
          </w:p>
        </w:tc>
        <w:tc>
          <w:tcPr>
            <w:tcW w:w="5748" w:type="dxa"/>
          </w:tcPr>
          <w:p w14:paraId="0C5FF708" w14:textId="227D6BFF" w:rsidR="00F436AB" w:rsidRDefault="00F436AB">
            <w:r>
              <w:t>Growth intercept</w:t>
            </w:r>
          </w:p>
        </w:tc>
      </w:tr>
      <w:tr w:rsidR="00F436AB" w14:paraId="6D135A0A" w14:textId="77777777" w:rsidTr="00E36F2A">
        <w:trPr>
          <w:trHeight w:val="350"/>
        </w:trPr>
        <w:tc>
          <w:tcPr>
            <w:tcW w:w="5020" w:type="dxa"/>
            <w:vMerge/>
          </w:tcPr>
          <w:p w14:paraId="285CEF59" w14:textId="07CA34B2" w:rsidR="00F436AB" w:rsidRDefault="00F436AB"/>
        </w:tc>
        <w:tc>
          <w:tcPr>
            <w:tcW w:w="1260" w:type="dxa"/>
          </w:tcPr>
          <w:p w14:paraId="1056E068" w14:textId="67173672" w:rsidR="00F436AB" w:rsidRDefault="00F436A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922" w:type="dxa"/>
          </w:tcPr>
          <w:p w14:paraId="6FEBBCA9" w14:textId="4A63FDAB" w:rsidR="00F436AB" w:rsidRDefault="00F436AB" w:rsidP="00E36F2A">
            <w:pPr>
              <w:jc w:val="center"/>
            </w:pPr>
            <w:r>
              <w:t>fixed</w:t>
            </w:r>
          </w:p>
        </w:tc>
        <w:tc>
          <w:tcPr>
            <w:tcW w:w="5748" w:type="dxa"/>
          </w:tcPr>
          <w:p w14:paraId="41B19927" w14:textId="1F94974F" w:rsidR="00F436AB" w:rsidRDefault="00F436AB">
            <w:r>
              <w:t>Immature growth slope</w:t>
            </w:r>
          </w:p>
        </w:tc>
      </w:tr>
      <w:tr w:rsidR="00F436AB" w14:paraId="143C675B" w14:textId="77777777" w:rsidTr="00E36F2A">
        <w:trPr>
          <w:trHeight w:val="350"/>
        </w:trPr>
        <w:tc>
          <w:tcPr>
            <w:tcW w:w="5020" w:type="dxa"/>
            <w:vMerge w:val="restart"/>
          </w:tcPr>
          <w:p w14:paraId="6E7FCEF2" w14:textId="611FCD31" w:rsidR="00F436AB" w:rsidRPr="00F436AB" w:rsidRDefault="00F436AB">
            <w:pPr>
              <w:rPr>
                <w:rFonts w:eastAsiaTheme="minorEastAsia"/>
              </w:rPr>
            </w:pPr>
            <w:r>
              <w:t xml:space="preserve">   </w:t>
            </w:r>
            <w:r>
              <w:t>Form:</w:t>
            </w:r>
            <w:r>
              <w:t xml:space="preserve">    </w:t>
            </w:r>
            <m:oMath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3D1EE708" w14:textId="77777777" w:rsidR="00F436AB" w:rsidRDefault="00F436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</w:t>
            </w:r>
            <m:oMath>
              <m:r>
                <w:rPr>
                  <w:rFonts w:ascii="Cambria Math" w:hAnsi="Cambria Math"/>
                </w:rPr>
                <m:t xml:space="preserve">×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</m:oMath>
          </w:p>
          <w:p w14:paraId="1A722014" w14:textId="07921E9E" w:rsidR="00F436AB" w:rsidRPr="00F436AB" w:rsidRDefault="00F436AB">
            <w:r>
              <w:rPr>
                <w:rFonts w:eastAsiaTheme="minorEastAsia"/>
              </w:rPr>
              <w:t xml:space="preserve">                 </w:t>
            </w:r>
            <m:oMath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  <w:tc>
          <w:tcPr>
            <w:tcW w:w="1260" w:type="dxa"/>
          </w:tcPr>
          <w:p w14:paraId="27456F37" w14:textId="0A8FCEB3" w:rsidR="00F436AB" w:rsidRDefault="00F436A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922" w:type="dxa"/>
          </w:tcPr>
          <w:p w14:paraId="2DC8638E" w14:textId="79076B33" w:rsidR="00F436AB" w:rsidRDefault="00F436AB" w:rsidP="00E36F2A">
            <w:pPr>
              <w:jc w:val="center"/>
            </w:pPr>
            <w:r>
              <w:t>fixed</w:t>
            </w:r>
          </w:p>
        </w:tc>
        <w:tc>
          <w:tcPr>
            <w:tcW w:w="5748" w:type="dxa"/>
          </w:tcPr>
          <w:p w14:paraId="7B9FF881" w14:textId="3FEC985F" w:rsidR="00F436AB" w:rsidRDefault="00F436AB">
            <w:r>
              <w:t>Adolescent</w:t>
            </w:r>
            <w:r>
              <w:t xml:space="preserve"> growth slope</w:t>
            </w:r>
          </w:p>
        </w:tc>
      </w:tr>
      <w:tr w:rsidR="00F436AB" w14:paraId="18BAACC2" w14:textId="77777777" w:rsidTr="00E36F2A">
        <w:trPr>
          <w:trHeight w:val="350"/>
        </w:trPr>
        <w:tc>
          <w:tcPr>
            <w:tcW w:w="5020" w:type="dxa"/>
            <w:vMerge/>
          </w:tcPr>
          <w:p w14:paraId="6C55B7A4" w14:textId="77777777" w:rsidR="00F436AB" w:rsidRDefault="00F436AB"/>
        </w:tc>
        <w:tc>
          <w:tcPr>
            <w:tcW w:w="1260" w:type="dxa"/>
          </w:tcPr>
          <w:p w14:paraId="2F730784" w14:textId="2CFE0D0E" w:rsidR="00F436AB" w:rsidRDefault="00F436A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6AF40D05" w14:textId="2CA87AD1" w:rsidR="00F436AB" w:rsidRDefault="00F436AB" w:rsidP="00E36F2A">
            <w:pPr>
              <w:jc w:val="center"/>
            </w:pPr>
            <w:r>
              <w:t>fixed</w:t>
            </w:r>
          </w:p>
        </w:tc>
        <w:tc>
          <w:tcPr>
            <w:tcW w:w="5748" w:type="dxa"/>
          </w:tcPr>
          <w:p w14:paraId="2FA47041" w14:textId="7DF0A993" w:rsidR="00F436AB" w:rsidRDefault="00F436AB">
            <w:r>
              <w:t>Transition size immature-adolescent</w:t>
            </w:r>
          </w:p>
        </w:tc>
      </w:tr>
      <w:tr w:rsidR="00F436AB" w14:paraId="5130981E" w14:textId="77777777" w:rsidTr="00E36F2A">
        <w:trPr>
          <w:trHeight w:val="350"/>
        </w:trPr>
        <w:tc>
          <w:tcPr>
            <w:tcW w:w="5020" w:type="dxa"/>
            <w:vMerge/>
          </w:tcPr>
          <w:p w14:paraId="4C825103" w14:textId="77777777" w:rsidR="00F436AB" w:rsidRDefault="00F436AB"/>
        </w:tc>
        <w:tc>
          <w:tcPr>
            <w:tcW w:w="1260" w:type="dxa"/>
          </w:tcPr>
          <w:p w14:paraId="3E6AC552" w14:textId="0E7F2544" w:rsidR="00F436AB" w:rsidRDefault="00F436A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21209D7A" w14:textId="567C5DFF" w:rsidR="00F436AB" w:rsidRDefault="00F436AB" w:rsidP="00E36F2A">
            <w:pPr>
              <w:jc w:val="center"/>
            </w:pPr>
            <w:r>
              <w:t>fixed</w:t>
            </w:r>
          </w:p>
        </w:tc>
        <w:tc>
          <w:tcPr>
            <w:tcW w:w="5748" w:type="dxa"/>
          </w:tcPr>
          <w:p w14:paraId="7B461E1E" w14:textId="76665613" w:rsidR="00F436AB" w:rsidRDefault="00F436AB">
            <w:r>
              <w:t xml:space="preserve">Window width around transition size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</w:p>
        </w:tc>
      </w:tr>
      <w:tr w:rsidR="00F436AB" w14:paraId="64E7A329" w14:textId="77777777" w:rsidTr="00E36F2A">
        <w:trPr>
          <w:trHeight w:val="350"/>
        </w:trPr>
        <w:tc>
          <w:tcPr>
            <w:tcW w:w="5020" w:type="dxa"/>
            <w:vMerge/>
          </w:tcPr>
          <w:p w14:paraId="57A06A75" w14:textId="77777777" w:rsidR="00F436AB" w:rsidRDefault="00F436AB"/>
        </w:tc>
        <w:tc>
          <w:tcPr>
            <w:tcW w:w="1260" w:type="dxa"/>
          </w:tcPr>
          <w:p w14:paraId="4020E564" w14:textId="1F48BDE6" w:rsidR="00F436AB" w:rsidRPr="00C16DD3" w:rsidRDefault="00F436A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490D13D4" w14:textId="76AF84E2" w:rsidR="00F436AB" w:rsidRDefault="00F436AB" w:rsidP="00E36F2A">
            <w:pPr>
              <w:jc w:val="center"/>
            </w:pPr>
            <w:r>
              <w:t>fixed</w:t>
            </w:r>
          </w:p>
        </w:tc>
        <w:tc>
          <w:tcPr>
            <w:tcW w:w="5748" w:type="dxa"/>
          </w:tcPr>
          <w:p w14:paraId="15BE9871" w14:textId="2D57D6A3" w:rsidR="00F436AB" w:rsidRDefault="00F436AB">
            <w:r>
              <w:t>Growth error</w:t>
            </w:r>
          </w:p>
        </w:tc>
      </w:tr>
      <w:tr w:rsidR="00F436AB" w14:paraId="6732E0B3" w14:textId="77777777" w:rsidTr="00E36F2A">
        <w:trPr>
          <w:trHeight w:val="350"/>
        </w:trPr>
        <w:tc>
          <w:tcPr>
            <w:tcW w:w="5020" w:type="dxa"/>
          </w:tcPr>
          <w:p w14:paraId="710690B4" w14:textId="0A625386" w:rsidR="00F436AB" w:rsidRPr="00F436AB" w:rsidRDefault="00F436AB">
            <w:pPr>
              <w:rPr>
                <w:b/>
                <w:bCs/>
              </w:rPr>
            </w:pPr>
            <w:r w:rsidRPr="00F436AB">
              <w:rPr>
                <w:b/>
                <w:bCs/>
              </w:rPr>
              <w:t>Recruitment:</w:t>
            </w:r>
            <w:r w:rsidR="00E36F2A">
              <w:t xml:space="preserve"> Annual instar size distribution</w:t>
            </w:r>
          </w:p>
        </w:tc>
        <w:tc>
          <w:tcPr>
            <w:tcW w:w="1260" w:type="dxa"/>
          </w:tcPr>
          <w:p w14:paraId="23EA2A46" w14:textId="59DD47D4" w:rsidR="00F436AB" w:rsidRPr="007D2E11" w:rsidRDefault="003F0E92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(y)</m:t>
                    </m:r>
                  </m:sup>
                </m:sSubSup>
              </m:oMath>
            </m:oMathPara>
          </w:p>
        </w:tc>
        <w:tc>
          <w:tcPr>
            <w:tcW w:w="922" w:type="dxa"/>
          </w:tcPr>
          <w:p w14:paraId="69649406" w14:textId="5C33A070" w:rsidR="00F436AB" w:rsidRDefault="00E36F2A" w:rsidP="00E36F2A">
            <w:pPr>
              <w:jc w:val="center"/>
            </w:pPr>
            <w:r>
              <w:t>random</w:t>
            </w:r>
          </w:p>
        </w:tc>
        <w:tc>
          <w:tcPr>
            <w:tcW w:w="5748" w:type="dxa"/>
          </w:tcPr>
          <w:p w14:paraId="528F86CA" w14:textId="42052C8B" w:rsidR="00F436AB" w:rsidRDefault="003F0E92">
            <w:r>
              <w:t xml:space="preserve">Annual recruitment scaling </w:t>
            </w:r>
            <w:r w:rsidR="00E36F2A">
              <w:t>coefficients</w:t>
            </w:r>
          </w:p>
        </w:tc>
      </w:tr>
      <w:tr w:rsidR="003F0E92" w14:paraId="761A3AD4" w14:textId="77777777" w:rsidTr="003F0E92">
        <w:trPr>
          <w:trHeight w:val="350"/>
        </w:trPr>
        <w:tc>
          <w:tcPr>
            <w:tcW w:w="5020" w:type="dxa"/>
            <w:vMerge w:val="restart"/>
            <w:vAlign w:val="center"/>
          </w:tcPr>
          <w:p w14:paraId="0F4DF740" w14:textId="24D8C925" w:rsidR="003F0E92" w:rsidRDefault="003F0E92" w:rsidP="00E36F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ϕ(x|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y,R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60" w:type="dxa"/>
          </w:tcPr>
          <w:p w14:paraId="3D12FADD" w14:textId="69118953" w:rsidR="003F0E92" w:rsidRPr="007D2E11" w:rsidRDefault="003F0E92" w:rsidP="00E36F2A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y,R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1C2EB4FF" w14:textId="28472D6A" w:rsidR="003F0E92" w:rsidRDefault="003F0E92" w:rsidP="00E36F2A">
            <w:pPr>
              <w:jc w:val="center"/>
            </w:pPr>
            <w:r>
              <w:t>random</w:t>
            </w:r>
          </w:p>
        </w:tc>
        <w:tc>
          <w:tcPr>
            <w:tcW w:w="5748" w:type="dxa"/>
          </w:tcPr>
          <w:p w14:paraId="46E263C4" w14:textId="20AA09D0" w:rsidR="003F0E92" w:rsidRDefault="003F0E92" w:rsidP="00E36F2A">
            <w:r>
              <w:t>Annual recruitment mean sizes</w:t>
            </w:r>
          </w:p>
        </w:tc>
      </w:tr>
      <w:tr w:rsidR="003F0E92" w14:paraId="43B6362A" w14:textId="77777777" w:rsidTr="003F0E92">
        <w:trPr>
          <w:trHeight w:val="350"/>
        </w:trPr>
        <w:tc>
          <w:tcPr>
            <w:tcW w:w="5020" w:type="dxa"/>
            <w:vMerge/>
            <w:vAlign w:val="center"/>
          </w:tcPr>
          <w:p w14:paraId="218085DD" w14:textId="26E5D5E8" w:rsidR="003F0E92" w:rsidRDefault="003F0E92" w:rsidP="00E36F2A"/>
        </w:tc>
        <w:tc>
          <w:tcPr>
            <w:tcW w:w="1260" w:type="dxa"/>
          </w:tcPr>
          <w:p w14:paraId="5A9C4214" w14:textId="0B8160D5" w:rsidR="003F0E92" w:rsidRPr="007D2E11" w:rsidRDefault="003F0E92" w:rsidP="00E36F2A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922" w:type="dxa"/>
          </w:tcPr>
          <w:p w14:paraId="379FEE74" w14:textId="20C731E7" w:rsidR="003F0E92" w:rsidRDefault="003F0E92" w:rsidP="00E36F2A">
            <w:pPr>
              <w:jc w:val="center"/>
            </w:pPr>
            <w:r>
              <w:t>fixed</w:t>
            </w:r>
          </w:p>
        </w:tc>
        <w:tc>
          <w:tcPr>
            <w:tcW w:w="5748" w:type="dxa"/>
          </w:tcPr>
          <w:p w14:paraId="0D8BB548" w14:textId="522CEDC2" w:rsidR="003F0E92" w:rsidRDefault="003F0E92" w:rsidP="00E36F2A">
            <w:r>
              <w:t>Error parameter for recruitment size distribution</w:t>
            </w:r>
          </w:p>
        </w:tc>
      </w:tr>
      <w:tr w:rsidR="003F0E92" w14:paraId="5BBBD80E" w14:textId="77777777" w:rsidTr="003F0E92">
        <w:trPr>
          <w:trHeight w:val="350"/>
        </w:trPr>
        <w:tc>
          <w:tcPr>
            <w:tcW w:w="5020" w:type="dxa"/>
            <w:vMerge w:val="restart"/>
            <w:vAlign w:val="center"/>
          </w:tcPr>
          <w:p w14:paraId="220B608E" w14:textId="74403DC6" w:rsidR="003F0E92" w:rsidRPr="003F0E92" w:rsidRDefault="003F0E92" w:rsidP="00E36F2A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(y)</m:t>
                    </m:r>
                  </m:sup>
                </m:sSubSup>
                <m:r>
                  <w:rPr>
                    <w:rFonts w:ascii="Cambria Math" w:hAnsi="Cambria Math"/>
                  </w:rPr>
                  <m:t>~ 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d>
                      </m:sup>
                    </m:sSubSup>
                  </m:e>
                </m:d>
              </m:oMath>
            </m:oMathPara>
          </w:p>
        </w:tc>
        <w:tc>
          <w:tcPr>
            <w:tcW w:w="1260" w:type="dxa"/>
          </w:tcPr>
          <w:p w14:paraId="2983F49D" w14:textId="461F06AC" w:rsidR="003F0E92" w:rsidRPr="007D2E11" w:rsidRDefault="003F0E92" w:rsidP="00E36F2A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922" w:type="dxa"/>
          </w:tcPr>
          <w:p w14:paraId="464BFA62" w14:textId="3E61E40B" w:rsidR="003F0E92" w:rsidRDefault="003F0E92" w:rsidP="00E36F2A">
            <w:pPr>
              <w:jc w:val="center"/>
            </w:pPr>
            <w:r>
              <w:t>fixed</w:t>
            </w:r>
          </w:p>
        </w:tc>
        <w:tc>
          <w:tcPr>
            <w:tcW w:w="5748" w:type="dxa"/>
          </w:tcPr>
          <w:p w14:paraId="6BD16926" w14:textId="5C1FFCAA" w:rsidR="003F0E92" w:rsidRDefault="003F0E92" w:rsidP="00E36F2A">
            <w:r>
              <w:t>Mean of annual scaling coefficients</w:t>
            </w:r>
          </w:p>
        </w:tc>
      </w:tr>
      <w:tr w:rsidR="003F0E92" w14:paraId="7F77951A" w14:textId="77777777" w:rsidTr="003F0E92">
        <w:trPr>
          <w:trHeight w:val="350"/>
        </w:trPr>
        <w:tc>
          <w:tcPr>
            <w:tcW w:w="5020" w:type="dxa"/>
            <w:vMerge/>
            <w:vAlign w:val="center"/>
          </w:tcPr>
          <w:p w14:paraId="5DBBF9EA" w14:textId="77777777" w:rsidR="003F0E92" w:rsidRDefault="003F0E92" w:rsidP="00E36F2A"/>
        </w:tc>
        <w:tc>
          <w:tcPr>
            <w:tcW w:w="1260" w:type="dxa"/>
          </w:tcPr>
          <w:p w14:paraId="0F6F6C83" w14:textId="548EE235" w:rsidR="003F0E92" w:rsidRPr="007D2E11" w:rsidRDefault="003F0E92" w:rsidP="00E36F2A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922" w:type="dxa"/>
          </w:tcPr>
          <w:p w14:paraId="40A2A3A6" w14:textId="25EA3076" w:rsidR="003F0E92" w:rsidRDefault="003F0E92" w:rsidP="00E36F2A">
            <w:pPr>
              <w:jc w:val="center"/>
            </w:pPr>
            <w:r>
              <w:t>fixed</w:t>
            </w:r>
          </w:p>
        </w:tc>
        <w:tc>
          <w:tcPr>
            <w:tcW w:w="5748" w:type="dxa"/>
          </w:tcPr>
          <w:p w14:paraId="3A6CEAC7" w14:textId="3FA5F11F" w:rsidR="003F0E92" w:rsidRDefault="003F0E92" w:rsidP="00E36F2A">
            <w:r>
              <w:t xml:space="preserve">Standard error </w:t>
            </w:r>
            <w:r>
              <w:t>of annual scaling coefficients</w:t>
            </w:r>
          </w:p>
        </w:tc>
      </w:tr>
      <w:tr w:rsidR="003F0E92" w14:paraId="69F04A4D" w14:textId="77777777" w:rsidTr="003F0E92">
        <w:trPr>
          <w:trHeight w:val="350"/>
        </w:trPr>
        <w:tc>
          <w:tcPr>
            <w:tcW w:w="5020" w:type="dxa"/>
            <w:vMerge w:val="restart"/>
            <w:vAlign w:val="center"/>
          </w:tcPr>
          <w:p w14:paraId="4ABF9779" w14:textId="4B63503C" w:rsidR="003F0E92" w:rsidRDefault="003F0E92" w:rsidP="003F0E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y,R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~ </m:t>
                </m:r>
                <m:r>
                  <w:rPr>
                    <w:rFonts w:ascii="Cambria Math" w:hAnsi="Cambria Math"/>
                  </w:rPr>
                  <m:t>N(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60" w:type="dxa"/>
          </w:tcPr>
          <w:p w14:paraId="3322C9C2" w14:textId="2B3A2CF3" w:rsidR="003F0E92" w:rsidRPr="007D2E11" w:rsidRDefault="003F0E92" w:rsidP="003F0E92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922" w:type="dxa"/>
          </w:tcPr>
          <w:p w14:paraId="58A2F848" w14:textId="2ECACA22" w:rsidR="003F0E92" w:rsidRDefault="003F0E92" w:rsidP="003F0E92">
            <w:pPr>
              <w:jc w:val="center"/>
            </w:pPr>
            <w:r>
              <w:t>fixed</w:t>
            </w:r>
          </w:p>
        </w:tc>
        <w:tc>
          <w:tcPr>
            <w:tcW w:w="5748" w:type="dxa"/>
          </w:tcPr>
          <w:p w14:paraId="7F1BD611" w14:textId="57F34738" w:rsidR="003F0E92" w:rsidRDefault="003F0E92" w:rsidP="003F0E92">
            <w:r>
              <w:t xml:space="preserve">Mean of </w:t>
            </w:r>
            <w:r>
              <w:t>recruitment sizes</w:t>
            </w:r>
          </w:p>
        </w:tc>
      </w:tr>
      <w:tr w:rsidR="003F0E92" w14:paraId="61BEBA1A" w14:textId="77777777" w:rsidTr="00E36F2A">
        <w:trPr>
          <w:trHeight w:val="350"/>
        </w:trPr>
        <w:tc>
          <w:tcPr>
            <w:tcW w:w="5020" w:type="dxa"/>
            <w:vMerge/>
          </w:tcPr>
          <w:p w14:paraId="2D66C4A6" w14:textId="77777777" w:rsidR="003F0E92" w:rsidRDefault="003F0E92" w:rsidP="003F0E92"/>
        </w:tc>
        <w:tc>
          <w:tcPr>
            <w:tcW w:w="1260" w:type="dxa"/>
          </w:tcPr>
          <w:p w14:paraId="5A92E826" w14:textId="405DA01A" w:rsidR="003F0E92" w:rsidRPr="00BD6523" w:rsidRDefault="003F0E92" w:rsidP="003F0E92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922" w:type="dxa"/>
          </w:tcPr>
          <w:p w14:paraId="50E0DD75" w14:textId="534D7190" w:rsidR="003F0E92" w:rsidRDefault="003F0E92" w:rsidP="003F0E92">
            <w:pPr>
              <w:jc w:val="center"/>
            </w:pPr>
            <w:r>
              <w:t>fixed</w:t>
            </w:r>
          </w:p>
        </w:tc>
        <w:tc>
          <w:tcPr>
            <w:tcW w:w="5748" w:type="dxa"/>
          </w:tcPr>
          <w:p w14:paraId="5D9CC1AC" w14:textId="2B00255B" w:rsidR="003F0E92" w:rsidRDefault="003F0E92" w:rsidP="003F0E92">
            <w:r>
              <w:t>Standard error of recruitment sizes</w:t>
            </w:r>
          </w:p>
        </w:tc>
      </w:tr>
      <w:tr w:rsidR="00B86DB8" w14:paraId="55FD6CA2" w14:textId="77777777" w:rsidTr="00E36F2A">
        <w:trPr>
          <w:trHeight w:val="350"/>
        </w:trPr>
        <w:tc>
          <w:tcPr>
            <w:tcW w:w="5020" w:type="dxa"/>
          </w:tcPr>
          <w:p w14:paraId="5E3B4800" w14:textId="7432A56E" w:rsidR="00B86DB8" w:rsidRPr="00B86DB8" w:rsidRDefault="00B86DB8" w:rsidP="003F0E92">
            <w:r w:rsidRPr="00B86DB8">
              <w:rPr>
                <w:b/>
                <w:bCs/>
              </w:rPr>
              <w:t>Maturity</w:t>
            </w:r>
            <w:r>
              <w:rPr>
                <w:b/>
                <w:bCs/>
              </w:rPr>
              <w:t>:</w:t>
            </w:r>
          </w:p>
        </w:tc>
        <w:tc>
          <w:tcPr>
            <w:tcW w:w="1260" w:type="dxa"/>
          </w:tcPr>
          <w:p w14:paraId="23460D9B" w14:textId="77777777" w:rsidR="00B86DB8" w:rsidRPr="00BD6523" w:rsidRDefault="00B86DB8" w:rsidP="003F0E9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22" w:type="dxa"/>
          </w:tcPr>
          <w:p w14:paraId="5184B279" w14:textId="77777777" w:rsidR="00B86DB8" w:rsidRDefault="00B86DB8" w:rsidP="003F0E92">
            <w:pPr>
              <w:jc w:val="center"/>
            </w:pPr>
          </w:p>
        </w:tc>
        <w:tc>
          <w:tcPr>
            <w:tcW w:w="5748" w:type="dxa"/>
          </w:tcPr>
          <w:p w14:paraId="6ABFAA84" w14:textId="77777777" w:rsidR="00B86DB8" w:rsidRDefault="00B86DB8" w:rsidP="003F0E92"/>
        </w:tc>
      </w:tr>
      <w:tr w:rsidR="00B86DB8" w14:paraId="7576970C" w14:textId="77777777" w:rsidTr="00E36F2A">
        <w:trPr>
          <w:trHeight w:val="350"/>
        </w:trPr>
        <w:tc>
          <w:tcPr>
            <w:tcW w:w="5020" w:type="dxa"/>
          </w:tcPr>
          <w:p w14:paraId="3A9DACCA" w14:textId="55321777" w:rsidR="00B86DB8" w:rsidRDefault="00E95720" w:rsidP="003F0E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60" w:type="dxa"/>
          </w:tcPr>
          <w:p w14:paraId="4DFA997F" w14:textId="77777777" w:rsidR="00B86DB8" w:rsidRPr="00BD6523" w:rsidRDefault="00B86DB8" w:rsidP="003F0E9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22" w:type="dxa"/>
          </w:tcPr>
          <w:p w14:paraId="21DF8E5B" w14:textId="77777777" w:rsidR="00B86DB8" w:rsidRDefault="00B86DB8" w:rsidP="003F0E92">
            <w:pPr>
              <w:jc w:val="center"/>
            </w:pPr>
          </w:p>
        </w:tc>
        <w:tc>
          <w:tcPr>
            <w:tcW w:w="5748" w:type="dxa"/>
          </w:tcPr>
          <w:p w14:paraId="1864FE25" w14:textId="77777777" w:rsidR="00B86DB8" w:rsidRDefault="00B86DB8" w:rsidP="003F0E92"/>
        </w:tc>
      </w:tr>
      <w:tr w:rsidR="00B86DB8" w14:paraId="07090E7A" w14:textId="77777777" w:rsidTr="00E36F2A">
        <w:trPr>
          <w:trHeight w:val="350"/>
        </w:trPr>
        <w:tc>
          <w:tcPr>
            <w:tcW w:w="5020" w:type="dxa"/>
          </w:tcPr>
          <w:p w14:paraId="1916D5ED" w14:textId="77777777" w:rsidR="00B86DB8" w:rsidRDefault="00B86DB8" w:rsidP="003F0E92"/>
        </w:tc>
        <w:tc>
          <w:tcPr>
            <w:tcW w:w="1260" w:type="dxa"/>
          </w:tcPr>
          <w:p w14:paraId="1C199893" w14:textId="77777777" w:rsidR="00B86DB8" w:rsidRPr="00BD6523" w:rsidRDefault="00B86DB8" w:rsidP="003F0E9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22" w:type="dxa"/>
          </w:tcPr>
          <w:p w14:paraId="1CFF1114" w14:textId="77777777" w:rsidR="00B86DB8" w:rsidRDefault="00B86DB8" w:rsidP="003F0E92">
            <w:pPr>
              <w:jc w:val="center"/>
            </w:pPr>
          </w:p>
        </w:tc>
        <w:tc>
          <w:tcPr>
            <w:tcW w:w="5748" w:type="dxa"/>
          </w:tcPr>
          <w:p w14:paraId="003EDF4C" w14:textId="77777777" w:rsidR="00B86DB8" w:rsidRDefault="00B86DB8" w:rsidP="003F0E92"/>
        </w:tc>
      </w:tr>
      <w:tr w:rsidR="00B86DB8" w14:paraId="004B2ACD" w14:textId="77777777" w:rsidTr="00E36F2A">
        <w:trPr>
          <w:trHeight w:val="350"/>
        </w:trPr>
        <w:tc>
          <w:tcPr>
            <w:tcW w:w="5020" w:type="dxa"/>
          </w:tcPr>
          <w:p w14:paraId="3586F5EA" w14:textId="77777777" w:rsidR="00B86DB8" w:rsidRDefault="00B86DB8" w:rsidP="003F0E92"/>
        </w:tc>
        <w:tc>
          <w:tcPr>
            <w:tcW w:w="1260" w:type="dxa"/>
          </w:tcPr>
          <w:p w14:paraId="1594D3D6" w14:textId="77777777" w:rsidR="00B86DB8" w:rsidRPr="00BD6523" w:rsidRDefault="00B86DB8" w:rsidP="003F0E9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22" w:type="dxa"/>
          </w:tcPr>
          <w:p w14:paraId="098F6EFE" w14:textId="77777777" w:rsidR="00B86DB8" w:rsidRDefault="00B86DB8" w:rsidP="003F0E92">
            <w:pPr>
              <w:jc w:val="center"/>
            </w:pPr>
          </w:p>
        </w:tc>
        <w:tc>
          <w:tcPr>
            <w:tcW w:w="5748" w:type="dxa"/>
          </w:tcPr>
          <w:p w14:paraId="5EA1CD3B" w14:textId="77777777" w:rsidR="00B86DB8" w:rsidRDefault="00B86DB8" w:rsidP="003F0E92"/>
        </w:tc>
      </w:tr>
      <w:tr w:rsidR="00B86DB8" w14:paraId="226680D3" w14:textId="77777777" w:rsidTr="00E36F2A">
        <w:trPr>
          <w:trHeight w:val="350"/>
        </w:trPr>
        <w:tc>
          <w:tcPr>
            <w:tcW w:w="5020" w:type="dxa"/>
          </w:tcPr>
          <w:p w14:paraId="072F9F09" w14:textId="77777777" w:rsidR="00B86DB8" w:rsidRDefault="00B86DB8" w:rsidP="003F0E92"/>
        </w:tc>
        <w:tc>
          <w:tcPr>
            <w:tcW w:w="1260" w:type="dxa"/>
          </w:tcPr>
          <w:p w14:paraId="48F4DAFC" w14:textId="77777777" w:rsidR="00B86DB8" w:rsidRPr="00BD6523" w:rsidRDefault="00B86DB8" w:rsidP="003F0E9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22" w:type="dxa"/>
          </w:tcPr>
          <w:p w14:paraId="7481D0A8" w14:textId="77777777" w:rsidR="00B86DB8" w:rsidRDefault="00B86DB8" w:rsidP="003F0E92">
            <w:pPr>
              <w:jc w:val="center"/>
            </w:pPr>
          </w:p>
        </w:tc>
        <w:tc>
          <w:tcPr>
            <w:tcW w:w="5748" w:type="dxa"/>
          </w:tcPr>
          <w:p w14:paraId="332EB870" w14:textId="77777777" w:rsidR="00B86DB8" w:rsidRDefault="00B86DB8" w:rsidP="003F0E92"/>
        </w:tc>
      </w:tr>
      <w:tr w:rsidR="00B86DB8" w14:paraId="55B53FE5" w14:textId="77777777" w:rsidTr="00E36F2A">
        <w:trPr>
          <w:trHeight w:val="350"/>
        </w:trPr>
        <w:tc>
          <w:tcPr>
            <w:tcW w:w="5020" w:type="dxa"/>
          </w:tcPr>
          <w:p w14:paraId="48867C33" w14:textId="77777777" w:rsidR="00B86DB8" w:rsidRDefault="00B86DB8" w:rsidP="003F0E92"/>
        </w:tc>
        <w:tc>
          <w:tcPr>
            <w:tcW w:w="1260" w:type="dxa"/>
          </w:tcPr>
          <w:p w14:paraId="6A579C46" w14:textId="77777777" w:rsidR="00B86DB8" w:rsidRPr="00BD6523" w:rsidRDefault="00B86DB8" w:rsidP="003F0E9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22" w:type="dxa"/>
          </w:tcPr>
          <w:p w14:paraId="3E130AE9" w14:textId="77777777" w:rsidR="00B86DB8" w:rsidRDefault="00B86DB8" w:rsidP="003F0E92">
            <w:pPr>
              <w:jc w:val="center"/>
            </w:pPr>
          </w:p>
        </w:tc>
        <w:tc>
          <w:tcPr>
            <w:tcW w:w="5748" w:type="dxa"/>
          </w:tcPr>
          <w:p w14:paraId="7B96728B" w14:textId="77777777" w:rsidR="00B86DB8" w:rsidRDefault="00B86DB8" w:rsidP="003F0E92"/>
        </w:tc>
      </w:tr>
    </w:tbl>
    <w:p w14:paraId="47175F96" w14:textId="77777777" w:rsidR="007166AD" w:rsidRDefault="00AC7491"/>
    <w:sectPr w:rsidR="007166AD" w:rsidSect="009B2C3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E0E0A" w14:textId="77777777" w:rsidR="00AC7491" w:rsidRDefault="00AC7491" w:rsidP="003F0E92">
      <w:pPr>
        <w:spacing w:after="0" w:line="240" w:lineRule="auto"/>
      </w:pPr>
      <w:r>
        <w:separator/>
      </w:r>
    </w:p>
  </w:endnote>
  <w:endnote w:type="continuationSeparator" w:id="0">
    <w:p w14:paraId="4A405923" w14:textId="77777777" w:rsidR="00AC7491" w:rsidRDefault="00AC7491" w:rsidP="003F0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B752" w14:textId="77777777" w:rsidR="00AC7491" w:rsidRDefault="00AC7491" w:rsidP="003F0E92">
      <w:pPr>
        <w:spacing w:after="0" w:line="240" w:lineRule="auto"/>
      </w:pPr>
      <w:r>
        <w:separator/>
      </w:r>
    </w:p>
  </w:footnote>
  <w:footnote w:type="continuationSeparator" w:id="0">
    <w:p w14:paraId="4430DEC6" w14:textId="77777777" w:rsidR="00AC7491" w:rsidRDefault="00AC7491" w:rsidP="003F0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39"/>
    <w:rsid w:val="002A3C0C"/>
    <w:rsid w:val="003F0E92"/>
    <w:rsid w:val="00457C91"/>
    <w:rsid w:val="005A75F0"/>
    <w:rsid w:val="009B2C39"/>
    <w:rsid w:val="00AC7491"/>
    <w:rsid w:val="00B86DB8"/>
    <w:rsid w:val="00DF7C9B"/>
    <w:rsid w:val="00E36F2A"/>
    <w:rsid w:val="00E95720"/>
    <w:rsid w:val="00F436AB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777C7"/>
  <w15:chartTrackingRefBased/>
  <w15:docId w15:val="{80175ECC-E346-4549-AA06-18173148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2C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3</cp:revision>
  <dcterms:created xsi:type="dcterms:W3CDTF">2022-12-06T18:59:00Z</dcterms:created>
  <dcterms:modified xsi:type="dcterms:W3CDTF">2022-12-21T20:41:00Z</dcterms:modified>
</cp:coreProperties>
</file>