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A679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Pharmacy Sales &amp; Profitability </w:t>
      </w:r>
      <w:r>
        <w:rPr>
          <w:rFonts w:hint="default" w:asciiTheme="minorAscii" w:hAnsiTheme="minorAscii"/>
          <w:sz w:val="24"/>
          <w:szCs w:val="24"/>
          <w:lang w:val="en-US"/>
        </w:rPr>
        <w:t>Analytic</w:t>
      </w:r>
      <w:r>
        <w:rPr>
          <w:rFonts w:hint="default" w:asciiTheme="minorAscii" w:hAnsiTheme="minorAscii"/>
          <w:sz w:val="24"/>
          <w:szCs w:val="24"/>
        </w:rPr>
        <w:t xml:space="preserve"> Report</w:t>
      </w:r>
    </w:p>
    <w:p w14:paraId="3F4CF2C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Objective</w:t>
      </w:r>
    </w:p>
    <w:p w14:paraId="79521DA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objective of this analysis is to evaluate sales performance and profitability across a European pharmacy distribution network operating in 8 countries and 31 regions between </w:t>
      </w:r>
      <w:r>
        <w:rPr>
          <w:rStyle w:val="9"/>
          <w:rFonts w:hint="default" w:asciiTheme="minorAscii" w:hAnsiTheme="minorAscii"/>
          <w:sz w:val="24"/>
          <w:szCs w:val="24"/>
        </w:rPr>
        <w:t>1st July 2024 and 30th June 2025</w:t>
      </w:r>
      <w:r>
        <w:rPr>
          <w:rFonts w:hint="default" w:asciiTheme="minorAscii" w:hAnsiTheme="minorAscii"/>
          <w:sz w:val="24"/>
          <w:szCs w:val="24"/>
        </w:rPr>
        <w:t>.</w:t>
      </w:r>
    </w:p>
    <w:p w14:paraId="1ADE640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This report aims to help stakeholders:</w:t>
      </w:r>
    </w:p>
    <w:p w14:paraId="28E131C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Understand revenue and margin distribution across countries and regions</w:t>
      </w:r>
    </w:p>
    <w:p w14:paraId="0798D89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Evaluate store-type and store-size performance</w:t>
      </w:r>
    </w:p>
    <w:p w14:paraId="6324FBD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Assess product category contribution to business results</w:t>
      </w:r>
    </w:p>
    <w:p w14:paraId="3C02C3D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Measure promotion effectiveness</w:t>
      </w:r>
    </w:p>
    <w:p w14:paraId="6F280AC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Identify opportunities for margin optimization and regional expansion</w:t>
      </w:r>
    </w:p>
    <w:p w14:paraId="58C4D1F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Data Description</w:t>
      </w:r>
    </w:p>
    <w:p w14:paraId="6AF7F15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The dataset represents daily pharmacy-level sales transactions across multiple European countries.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 xml:space="preserve"> With date table, product table, region table and fact sales table</w:t>
      </w:r>
    </w:p>
    <w:p w14:paraId="7E1BED3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Data Cleaning &amp; Preparation</w:t>
      </w:r>
    </w:p>
    <w:p w14:paraId="6891EEA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The following steps were taken in Power BI:</w:t>
      </w:r>
    </w:p>
    <w:p w14:paraId="0236A9F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Created calculated measures for:</w:t>
      </w:r>
    </w:p>
    <w:p w14:paraId="1CB8ABD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Total Revenue</w:t>
      </w:r>
    </w:p>
    <w:p w14:paraId="4368128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Total Cost</w:t>
      </w:r>
    </w:p>
    <w:p w14:paraId="2C3D2EF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Total Margin</w:t>
      </w:r>
    </w:p>
    <w:p w14:paraId="78A8428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Margin %</w:t>
      </w:r>
    </w:p>
    <w:p w14:paraId="4B79D62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Built hierarchical drill-down structure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6996058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Country → Region → Pharmacy</w:t>
      </w:r>
    </w:p>
    <w:p w14:paraId="02531E8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Ensured correct relationships between fact and dimension tables</w:t>
      </w:r>
    </w:p>
    <w:p w14:paraId="663CB51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Standardized date format and created a time-based hierarchy (Month, Quarter, Year)</w:t>
      </w:r>
    </w:p>
    <w:p w14:paraId="1644B02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Validated consistency of revenue and margin calculations</w:t>
      </w:r>
    </w:p>
    <w:p w14:paraId="3A27039B">
      <w:pPr>
        <w:rPr>
          <w:rFonts w:hint="default"/>
          <w:lang w:val="en-US"/>
        </w:rPr>
      </w:pPr>
    </w:p>
    <w:p w14:paraId="79DE9B3F"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Key Insights &amp; Analysis</w:t>
      </w:r>
    </w:p>
    <w:p w14:paraId="14A8A4A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A. Overall Business Performance</w:t>
      </w:r>
    </w:p>
    <w:p w14:paraId="20191564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business generated </w:t>
      </w:r>
      <w:r>
        <w:rPr>
          <w:rStyle w:val="9"/>
          <w:rFonts w:hint="default" w:asciiTheme="minorAscii" w:hAnsiTheme="minorAscii"/>
          <w:sz w:val="24"/>
          <w:szCs w:val="24"/>
        </w:rPr>
        <w:t>€8.63M in revenue</w:t>
      </w:r>
      <w:r>
        <w:rPr>
          <w:rFonts w:hint="default" w:asciiTheme="minorAscii" w:hAnsiTheme="minorAscii"/>
          <w:sz w:val="24"/>
          <w:szCs w:val="24"/>
        </w:rPr>
        <w:t xml:space="preserve"> and </w:t>
      </w:r>
      <w:r>
        <w:rPr>
          <w:rStyle w:val="9"/>
          <w:rFonts w:hint="default" w:asciiTheme="minorAscii" w:hAnsiTheme="minorAscii"/>
          <w:sz w:val="24"/>
          <w:szCs w:val="24"/>
        </w:rPr>
        <w:t>€2.42M in profit</w:t>
      </w:r>
      <w:r>
        <w:rPr>
          <w:rFonts w:hint="default" w:asciiTheme="minorAscii" w:hAnsiTheme="minorAscii"/>
          <w:sz w:val="24"/>
          <w:szCs w:val="24"/>
        </w:rPr>
        <w:t xml:space="preserve">, achieving a healthy </w:t>
      </w:r>
      <w:r>
        <w:rPr>
          <w:rStyle w:val="9"/>
          <w:rFonts w:hint="default" w:asciiTheme="minorAscii" w:hAnsiTheme="minorAscii"/>
          <w:sz w:val="24"/>
          <w:szCs w:val="24"/>
        </w:rPr>
        <w:t>28% overall margin</w:t>
      </w:r>
      <w:r>
        <w:rPr>
          <w:rFonts w:hint="default" w:asciiTheme="minorAscii" w:hAnsiTheme="minorAscii"/>
          <w:sz w:val="24"/>
          <w:szCs w:val="24"/>
        </w:rPr>
        <w:t>.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This indicates a relatively strong profitability structure for a pharmaceutical distributor.</w:t>
      </w:r>
    </w:p>
    <w:p w14:paraId="4C2BE023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Theme="minorAscii" w:hAnsiTheme="minorAscii"/>
          <w:sz w:val="24"/>
          <w:szCs w:val="24"/>
        </w:rPr>
      </w:pPr>
    </w:p>
    <w:p w14:paraId="118043F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outlineLvl w:val="1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Geographic Performance Analysis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479"/>
      </w:tblGrid>
      <w:tr w14:paraId="5F7B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FED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2E8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Revenue (€M)</w:t>
            </w:r>
          </w:p>
        </w:tc>
      </w:tr>
      <w:tr w14:paraId="5365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6A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Germany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80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1.6M</w:t>
            </w:r>
          </w:p>
        </w:tc>
      </w:tr>
      <w:tr w14:paraId="3DCCC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97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79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1.4M</w:t>
            </w:r>
          </w:p>
        </w:tc>
      </w:tr>
      <w:tr w14:paraId="57F9E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20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Italy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F9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1.3M</w:t>
            </w:r>
          </w:p>
        </w:tc>
      </w:tr>
      <w:tr w14:paraId="5E7E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EA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Belgium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C0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1.2M</w:t>
            </w:r>
          </w:p>
        </w:tc>
      </w:tr>
      <w:tr w14:paraId="5962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E8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Netherlands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A6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0.9M</w:t>
            </w:r>
          </w:p>
        </w:tc>
      </w:tr>
      <w:tr w14:paraId="60FD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29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A4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0.7M</w:t>
            </w:r>
          </w:p>
        </w:tc>
      </w:tr>
      <w:tr w14:paraId="2C31C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48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Poland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A6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0.7M</w:t>
            </w:r>
          </w:p>
        </w:tc>
      </w:tr>
      <w:tr w14:paraId="7BAD3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16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Austria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EA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0.7M</w:t>
            </w:r>
          </w:p>
        </w:tc>
      </w:tr>
    </w:tbl>
    <w:p w14:paraId="152CEA36">
      <w:pPr>
        <w:rPr>
          <w:rFonts w:hint="default"/>
        </w:rPr>
      </w:pPr>
    </w:p>
    <w:p w14:paraId="0A395D6A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Germany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 is the top-performing country in both revenue </w:t>
      </w:r>
      <w:r>
        <w:rPr>
          <w:rFonts w:hint="default" w:asciiTheme="minorAscii" w:hAnsiTheme="minorAscii"/>
          <w:b/>
          <w:bCs/>
          <w:sz w:val="24"/>
          <w:szCs w:val="24"/>
        </w:rPr>
        <w:t>(€1.6M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) and profit </w:t>
      </w:r>
      <w:r>
        <w:rPr>
          <w:rFonts w:hint="default" w:asciiTheme="minorAscii" w:hAnsiTheme="minorAscii"/>
          <w:b/>
          <w:bCs/>
          <w:sz w:val="24"/>
          <w:szCs w:val="24"/>
        </w:rPr>
        <w:t>(€0.44M).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France and Italy follow closely.Spain, Poland, and Austria contribute the least revenue.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Although Germany leads in absolute profit, profitability across countries appears proportionally aligned with revenue contribution.</w:t>
      </w:r>
    </w:p>
    <w:p w14:paraId="5B91672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>This suggests: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Strong market penetration in Germany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and s</w:t>
      </w:r>
      <w:r>
        <w:rPr>
          <w:rFonts w:hint="default" w:asciiTheme="minorAscii" w:hAnsiTheme="minorAscii"/>
          <w:sz w:val="24"/>
          <w:szCs w:val="24"/>
        </w:rPr>
        <w:t>table performance distribution across core markets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60A1D24E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Product Category Performance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1479"/>
      </w:tblGrid>
      <w:tr w14:paraId="1E8BD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76F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430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Revenue (€M)</w:t>
            </w:r>
          </w:p>
        </w:tc>
      </w:tr>
      <w:tr w14:paraId="4D12B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5A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DF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2.8M</w:t>
            </w:r>
          </w:p>
        </w:tc>
      </w:tr>
      <w:tr w14:paraId="7ED53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55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OTC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53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1.8M</w:t>
            </w:r>
          </w:p>
        </w:tc>
      </w:tr>
      <w:tr w14:paraId="2EBDE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A5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Wellness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C0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1.7M</w:t>
            </w:r>
          </w:p>
        </w:tc>
      </w:tr>
      <w:tr w14:paraId="5C543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62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Personal Care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5B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1.5M</w:t>
            </w:r>
          </w:p>
        </w:tc>
      </w:tr>
      <w:tr w14:paraId="77376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04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Medical Devices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A3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0.9M</w:t>
            </w:r>
          </w:p>
        </w:tc>
      </w:tr>
    </w:tbl>
    <w:p w14:paraId="137B582B">
      <w:pPr>
        <w:numPr>
          <w:numId w:val="0"/>
        </w:numPr>
        <w:ind w:leftChars="0"/>
        <w:rPr>
          <w:rFonts w:hint="default"/>
        </w:rPr>
      </w:pPr>
    </w:p>
    <w:p w14:paraId="5E2590C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>Margin Insights: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While Prescription leads in both revenue and profit, an interesting shift occurs between OTC and Wellness: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 xml:space="preserve"> </w:t>
      </w:r>
    </w:p>
    <w:p w14:paraId="5651799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Style w:val="9"/>
          <w:rFonts w:hint="default" w:asciiTheme="minorAscii" w:hAnsiTheme="minorAscii"/>
          <w:b/>
          <w:bCs/>
          <w:sz w:val="24"/>
          <w:szCs w:val="24"/>
        </w:rPr>
        <w:t>Wellness Profit:</w:t>
      </w:r>
      <w:r>
        <w:rPr>
          <w:rFonts w:hint="default" w:asciiTheme="minorAscii" w:hAnsiTheme="minorAscii"/>
          <w:sz w:val="24"/>
          <w:szCs w:val="24"/>
        </w:rPr>
        <w:t xml:space="preserve"> €575K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</w:p>
    <w:p w14:paraId="6C45DA6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Style w:val="9"/>
          <w:rFonts w:hint="default" w:asciiTheme="minorAscii" w:hAnsiTheme="minorAscii"/>
          <w:b/>
          <w:bCs/>
          <w:sz w:val="24"/>
          <w:szCs w:val="24"/>
        </w:rPr>
        <w:t>OTC Profit:</w:t>
      </w:r>
      <w:r>
        <w:rPr>
          <w:rFonts w:hint="default" w:asciiTheme="minorAscii" w:hAnsiTheme="minorAscii"/>
          <w:sz w:val="24"/>
          <w:szCs w:val="24"/>
        </w:rPr>
        <w:t xml:space="preserve"> €528K</w:t>
      </w:r>
    </w:p>
    <w:p w14:paraId="6E3871E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Despite OTC having slightly higher revenue than Wellness, </w:t>
      </w:r>
      <w:r>
        <w:rPr>
          <w:rStyle w:val="9"/>
          <w:rFonts w:hint="default" w:asciiTheme="minorAscii" w:hAnsiTheme="minorAscii"/>
          <w:sz w:val="24"/>
          <w:szCs w:val="24"/>
        </w:rPr>
        <w:t>Wellness generates more profit</w:t>
      </w:r>
      <w:r>
        <w:rPr>
          <w:rFonts w:hint="default" w:asciiTheme="minorAscii" w:hAnsiTheme="minorAscii"/>
          <w:sz w:val="24"/>
          <w:szCs w:val="24"/>
        </w:rPr>
        <w:t>, indicating stronger margin efficiency.</w:t>
      </w:r>
    </w:p>
    <w:p w14:paraId="262DCE0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</w:rPr>
        <w:t>Strategic Insight: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Wellness products may offer better pricing power or lower cost structures compared to OTC products.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 xml:space="preserve"> </w:t>
      </w:r>
    </w:p>
    <w:p w14:paraId="0D2C354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D. Store Type Performance</w:t>
      </w:r>
    </w:p>
    <w:p w14:paraId="2A3C118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Revenue Distribution:</w:t>
      </w:r>
    </w:p>
    <w:p w14:paraId="4EA4FE3E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Urban:</w:t>
      </w:r>
      <w:r>
        <w:rPr>
          <w:rFonts w:hint="default" w:asciiTheme="minorAscii" w:hAnsiTheme="minorAscii"/>
          <w:sz w:val="24"/>
          <w:szCs w:val="24"/>
        </w:rPr>
        <w:t xml:space="preserve"> 47%</w:t>
      </w:r>
    </w:p>
    <w:p w14:paraId="3B127464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Suburban:</w:t>
      </w:r>
      <w:r>
        <w:rPr>
          <w:rFonts w:hint="default" w:asciiTheme="minorAscii" w:hAnsiTheme="minorAscii"/>
          <w:sz w:val="24"/>
          <w:szCs w:val="24"/>
        </w:rPr>
        <w:t xml:space="preserve"> 36%</w:t>
      </w:r>
    </w:p>
    <w:p w14:paraId="2676C25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Rural:</w:t>
      </w:r>
      <w:r>
        <w:rPr>
          <w:rFonts w:hint="default" w:asciiTheme="minorAscii" w:hAnsiTheme="minorAscii"/>
          <w:sz w:val="24"/>
          <w:szCs w:val="24"/>
        </w:rPr>
        <w:t xml:space="preserve"> 16%</w:t>
      </w:r>
    </w:p>
    <w:p w14:paraId="57EA2C4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Urban pharmacies contribute nearly half of total revenue, showing strong density-driven performance.</w:t>
      </w:r>
    </w:p>
    <w:p w14:paraId="1621723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Store Size Profit Contribution:</w:t>
      </w:r>
    </w:p>
    <w:p w14:paraId="71D95CE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Medium Stores:</w:t>
      </w:r>
      <w:r>
        <w:rPr>
          <w:rFonts w:hint="default" w:asciiTheme="minorAscii" w:hAnsiTheme="minorAscii"/>
          <w:sz w:val="24"/>
          <w:szCs w:val="24"/>
        </w:rPr>
        <w:t xml:space="preserve"> 44%</w:t>
      </w:r>
    </w:p>
    <w:p w14:paraId="6F34E7E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Large Stores:</w:t>
      </w:r>
      <w:r>
        <w:rPr>
          <w:rFonts w:hint="default" w:asciiTheme="minorAscii" w:hAnsiTheme="minorAscii"/>
          <w:sz w:val="24"/>
          <w:szCs w:val="24"/>
        </w:rPr>
        <w:t xml:space="preserve"> 37%</w:t>
      </w:r>
    </w:p>
    <w:p w14:paraId="31148E6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Small Stores:</w:t>
      </w:r>
      <w:r>
        <w:rPr>
          <w:rFonts w:hint="default" w:asciiTheme="minorAscii" w:hAnsiTheme="minorAscii"/>
          <w:sz w:val="24"/>
          <w:szCs w:val="24"/>
        </w:rPr>
        <w:t xml:space="preserve"> 19%</w:t>
      </w:r>
    </w:p>
    <w:p w14:paraId="019982F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Surprisingly, </w:t>
      </w:r>
      <w:r>
        <w:rPr>
          <w:rStyle w:val="9"/>
          <w:rFonts w:hint="default" w:asciiTheme="minorAscii" w:hAnsiTheme="minorAscii"/>
          <w:sz w:val="24"/>
          <w:szCs w:val="24"/>
        </w:rPr>
        <w:t>Medium-sized stores generate the highest share of profit</w:t>
      </w:r>
      <w:r>
        <w:rPr>
          <w:rFonts w:hint="default" w:asciiTheme="minorAscii" w:hAnsiTheme="minorAscii"/>
          <w:sz w:val="24"/>
          <w:szCs w:val="24"/>
        </w:rPr>
        <w:t>, outperforming Large stores.</w:t>
      </w:r>
    </w:p>
    <w:p w14:paraId="2846888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This suggests:</w:t>
      </w:r>
    </w:p>
    <w:p w14:paraId="05B4011A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Medium stores may operate with better cost efficiency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4B783EE8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Large stores may have higher overhead costs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7C356123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Small stores have limited revenue capacity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005DE01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E. Promotion Effectiveness</w:t>
      </w:r>
    </w:p>
    <w:p w14:paraId="61FC5794">
      <w:pPr>
        <w:pStyle w:val="8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Promoted Sales Revenue:</w:t>
      </w:r>
      <w:r>
        <w:rPr>
          <w:rFonts w:hint="default" w:asciiTheme="minorAscii" w:hAnsiTheme="minorAscii"/>
          <w:sz w:val="24"/>
          <w:szCs w:val="24"/>
        </w:rPr>
        <w:t xml:space="preserve"> 10.55%</w:t>
      </w:r>
    </w:p>
    <w:p w14:paraId="0817650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Non-Promoted Sales Revenue:</w:t>
      </w:r>
      <w:r>
        <w:rPr>
          <w:rFonts w:hint="default" w:asciiTheme="minorAscii" w:hAnsiTheme="minorAscii"/>
          <w:sz w:val="24"/>
          <w:szCs w:val="24"/>
        </w:rPr>
        <w:t xml:space="preserve"> 89.45%</w:t>
      </w:r>
    </w:p>
    <w:p w14:paraId="0E4EED4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Promotions account for a relatively small portion of total revenue.</w:t>
      </w:r>
    </w:p>
    <w:p w14:paraId="62961CCB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Possible interpretations:</w:t>
      </w:r>
    </w:p>
    <w:p w14:paraId="418A129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Limited number of products under promotion</w:t>
      </w:r>
    </w:p>
    <w:p w14:paraId="5E5C0AE9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Promotion strategy not aggressively used</w:t>
      </w:r>
    </w:p>
    <w:p w14:paraId="0DB9FAF6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Theme="minorAscii" w:hAnsiTheme="minorAscii"/>
          <w:sz w:val="24"/>
          <w:szCs w:val="24"/>
        </w:rPr>
        <w:t>Core revenue driven by non-discounted essential products (e.g., Prescription drugs)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1F1739B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Recommendations</w:t>
      </w:r>
    </w:p>
    <w:p w14:paraId="7F3A74F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Scale Wellness Category</w:t>
      </w:r>
    </w:p>
    <w:p w14:paraId="7BD01A7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High profit efficiency makes it a strong candidate for expansion</w:t>
      </w:r>
    </w:p>
    <w:p w14:paraId="70C8031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Consider increasing shelf space or marketing focus.</w:t>
      </w:r>
    </w:p>
    <w:p w14:paraId="14E7C7C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Optimize OTC Margins</w:t>
      </w:r>
    </w:p>
    <w:p w14:paraId="088811E0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Review supplier contracts or pricing strategy.</w:t>
      </w:r>
    </w:p>
    <w:p w14:paraId="79DF8033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Leverage Medium Store Model</w:t>
      </w:r>
    </w:p>
    <w:p w14:paraId="2215804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Investigate operational practices in medium stores and replicate best practices across other sizes.</w:t>
      </w:r>
    </w:p>
    <w:p w14:paraId="7D18C170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Strengthen Underperforming Countries</w:t>
      </w:r>
    </w:p>
    <w:p w14:paraId="35C34A78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Conduct regional performance audits in Spain, Poland, and Austria.</w:t>
      </w:r>
    </w:p>
    <w:p w14:paraId="1739BF3E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Assess demand patterns and product mix.</w:t>
      </w:r>
    </w:p>
    <w:p w14:paraId="39142B8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9"/>
          <w:rFonts w:hint="default" w:asciiTheme="minorAscii" w:hAnsiTheme="minorAscii"/>
          <w:sz w:val="24"/>
          <w:szCs w:val="24"/>
        </w:rPr>
        <w:t>Reassess Promotion Strategy</w:t>
      </w:r>
    </w:p>
    <w:p w14:paraId="03ACBB3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Evaluate ROI of promotions.</w:t>
      </w:r>
    </w:p>
    <w:p w14:paraId="276D07B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Consider targeted promotional campaigns in lower-performing regions.</w:t>
      </w:r>
    </w:p>
    <w:p w14:paraId="2728A89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Limitations</w:t>
      </w:r>
    </w:p>
    <w:p w14:paraId="34738CF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customer-level data for behavioral analysis</w:t>
      </w:r>
    </w:p>
    <w:p w14:paraId="13D10F7C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inventory or stock-out data</w:t>
      </w:r>
    </w:p>
    <w:p w14:paraId="35D1C0FD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operational cost breakdown by store</w:t>
      </w:r>
    </w:p>
    <w:p w14:paraId="0871F154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No competitive market data</w:t>
      </w:r>
    </w:p>
    <w:p w14:paraId="195E3A4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Promotion intensity and discount percentage not provided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3688011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 Conclusion</w:t>
      </w:r>
    </w:p>
    <w:p w14:paraId="7683069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The European pharmacy distribution network demonstrates strong overall performance, generating €8.63M in revenue with a healthy 28% margin.</w:t>
      </w:r>
    </w:p>
    <w:p w14:paraId="19457B0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Revenue is heavily driven by Germany and other core markets, while Urban locations dominate sales volume.</w:t>
      </w:r>
    </w:p>
    <w:p w14:paraId="0F2C0B8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Medium-sized stores exhibit the strongest profitability efficiency, and the Wellness category stands out as a high-margin growth opportunity.</w:t>
      </w:r>
    </w:p>
    <w:p w14:paraId="3748459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Future growth will depend on:</w:t>
      </w:r>
    </w:p>
    <w:p w14:paraId="6E3ED9FD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Geographic diversification</w:t>
      </w:r>
    </w:p>
    <w:p w14:paraId="10FCECC3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Category-level margin optimization</w:t>
      </w:r>
    </w:p>
    <w:p w14:paraId="537263AE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Strategic expansion of high-performing store formats</w:t>
      </w:r>
    </w:p>
    <w:p w14:paraId="07F8588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5281C5E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0330E94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bookmarkStart w:id="0" w:name="_GoBack"/>
      <w:bookmarkEnd w:id="0"/>
      <w:r>
        <w:rPr>
          <w:rFonts w:hint="default" w:asciiTheme="minorAscii" w:hAnsiTheme="minorAscii"/>
          <w:sz w:val="24"/>
          <w:szCs w:val="24"/>
        </w:rPr>
        <w:t>Appendix – DAX Measures Used</w:t>
      </w:r>
    </w:p>
    <w:p w14:paraId="0D0B5427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Total Revenue = SUM(Sales[Revenue])</w:t>
      </w:r>
    </w:p>
    <w:p w14:paraId="244127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C0096F1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Total Cost = SUM(Sales[Cost])</w:t>
      </w:r>
    </w:p>
    <w:p w14:paraId="1D8AF6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5CA2DD9A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Total Units = SUM(Sales[Units Sold])</w:t>
      </w:r>
    </w:p>
    <w:p w14:paraId="1079C1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1C0D39AF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Total Margin = [Total Revenue] - [Total Cost]</w:t>
      </w:r>
    </w:p>
    <w:p w14:paraId="6C7814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22DF4545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Margin % = DIVIDE([Total Margin], [Total Revenue])</w:t>
      </w:r>
    </w:p>
    <w:p w14:paraId="7B86FD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1E1A6BA0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Promoted Revenue = </w:t>
      </w:r>
    </w:p>
    <w:p w14:paraId="367FD1EA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CALCULATE([Total Revenue], Sales[Promotion] = "Yes")</w:t>
      </w:r>
    </w:p>
    <w:p w14:paraId="66BEB2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0AC20BAD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Non-Promoted Revenue = </w:t>
      </w:r>
    </w:p>
    <w:p w14:paraId="42EA48A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CALCULATE([Total Revenue], Sales[Promotion] = "No")</w:t>
      </w:r>
    </w:p>
    <w:p w14:paraId="6FA8FA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A5A6FB5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Revenue % by Store Type = </w:t>
      </w:r>
    </w:p>
    <w:p w14:paraId="252E6D6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Style w:val="7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DIVIDE([Total Revenue], CALCULATE([Total Revenue], ALL(Store[Store Type])))</w:t>
      </w:r>
    </w:p>
    <w:p w14:paraId="07A079B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4"/>
          <w:szCs w:val="24"/>
        </w:rPr>
      </w:pPr>
    </w:p>
    <w:p w14:paraId="6610111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4"/>
          <w:szCs w:val="24"/>
        </w:rPr>
      </w:pPr>
    </w:p>
    <w:p w14:paraId="66039FC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104856E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</w:p>
    <w:p w14:paraId="3775F10A">
      <w:pPr>
        <w:rPr>
          <w:rFonts w:hint="default"/>
        </w:rPr>
      </w:pPr>
    </w:p>
    <w:p w14:paraId="08A8D913">
      <w:pPr>
        <w:numPr>
          <w:numId w:val="0"/>
        </w:numPr>
        <w:rPr>
          <w:rFonts w:hint="default"/>
        </w:rPr>
      </w:pPr>
    </w:p>
    <w:p w14:paraId="651AA15F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6689631B">
      <w:pPr>
        <w:rPr>
          <w:rFonts w:hint="default" w:asciiTheme="minorAscii" w:hAnsiTheme="minorAscii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29E2B"/>
    <w:multiLevelType w:val="singleLevel"/>
    <w:tmpl w:val="A1029E2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822F23"/>
    <w:multiLevelType w:val="singleLevel"/>
    <w:tmpl w:val="A4822F2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6B742C5"/>
    <w:multiLevelType w:val="singleLevel"/>
    <w:tmpl w:val="A6B742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652763E"/>
    <w:multiLevelType w:val="singleLevel"/>
    <w:tmpl w:val="C652763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AD99907"/>
    <w:multiLevelType w:val="singleLevel"/>
    <w:tmpl w:val="DAD999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FAAC61"/>
    <w:multiLevelType w:val="singleLevel"/>
    <w:tmpl w:val="00FAAC61"/>
    <w:lvl w:ilvl="0" w:tentative="0">
      <w:start w:val="2"/>
      <w:numFmt w:val="upperLetter"/>
      <w:suff w:val="space"/>
      <w:lvlText w:val="%1."/>
      <w:lvlJc w:val="left"/>
    </w:lvl>
  </w:abstractNum>
  <w:abstractNum w:abstractNumId="6">
    <w:nsid w:val="43DCB34A"/>
    <w:multiLevelType w:val="singleLevel"/>
    <w:tmpl w:val="43DCB3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C891E70"/>
    <w:multiLevelType w:val="singleLevel"/>
    <w:tmpl w:val="4C891E7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ECE59D8"/>
    <w:multiLevelType w:val="singleLevel"/>
    <w:tmpl w:val="5ECE59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FE9C44F"/>
    <w:multiLevelType w:val="singleLevel"/>
    <w:tmpl w:val="6FE9C44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E1F98"/>
    <w:rsid w:val="311E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2026-02-16T14:03:00Z</dcterms:created>
  <dc:creator>PC</dc:creator>
  <cp:lastModifiedBy>PC</cp:lastModifiedBy>
  <dcterms:modified xsi:type="dcterms:W3CDTF">2026-02-16T15:17:55Z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F8B1F19BB3E148C3B1E2209999E83201_11</vt:lpwstr>
  </property>
</Properties>
</file>