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your comprehensive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Annual Performance Self-Assessment</w:t>
      </w:r>
      <w:r w:rsidDel="00000000" w:rsidR="00000000" w:rsidRPr="00000000">
        <w:rPr>
          <w:color w:val="1f1f1f"/>
          <w:rtl w:val="0"/>
        </w:rPr>
        <w:t xml:space="preserve">, fully updated with:</w:t>
      </w:r>
    </w:p>
    <w:p w:rsidR="00000000" w:rsidDel="00000000" w:rsidP="00000000" w:rsidRDefault="00000000" w:rsidRPr="00000000" w14:paraId="00000002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Expression Analysis for 4 Prostate Targets (KLK2, PSMA/FOLH1, STEAP1, STEAP2)</w:t>
      </w:r>
      <w:r w:rsidDel="00000000" w:rsidR="00000000" w:rsidRPr="00000000">
        <w:rPr>
          <w:color w:val="1f1f1f"/>
          <w:rtl w:val="0"/>
        </w:rPr>
        <w:t xml:space="preserve"> across bulk (TCGA/GTEx) and single-cell prostate atlases[cite: 1].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Calico Project &amp; Asset Handoff</w:t>
      </w:r>
      <w:r w:rsidDel="00000000" w:rsidR="00000000" w:rsidRPr="00000000">
        <w:rPr>
          <w:color w:val="1f1f1f"/>
          <w:rtl w:val="0"/>
        </w:rPr>
        <w:t xml:space="preserve"> (data handoff, secure transfers, cross-functional coordination, and managing contractor workflows).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CLDN18.2 Patient Selection Optimization</w:t>
      </w:r>
      <w:r w:rsidDel="00000000" w:rsidR="00000000" w:rsidRPr="00000000">
        <w:rPr>
          <w:color w:val="1f1f1f"/>
          <w:rtl w:val="0"/>
        </w:rPr>
        <w:t xml:space="preserve"> (defining cutoffs while strategically advocating against a restrictive second cutoff to maximize patient inclusion).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Correction to the poster venue</w:t>
      </w:r>
      <w:r w:rsidDel="00000000" w:rsidR="00000000" w:rsidRPr="00000000">
        <w:rPr>
          <w:color w:val="1f1f1f"/>
          <w:rtl w:val="0"/>
        </w:rPr>
        <w:t xml:space="preserve"> (ACOS)[cite: 1].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46"/>
          <w:szCs w:val="46"/>
        </w:rPr>
      </w:pPr>
      <w:bookmarkStart w:colFirst="0" w:colLast="0" w:name="_k1156oxwinef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Annual Performance Self-Assessment</w:t>
      </w:r>
    </w:p>
    <w:p w:rsidR="00000000" w:rsidDel="00000000" w:rsidP="00000000" w:rsidRDefault="00000000" w:rsidRPr="00000000" w14:paraId="0000000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kay5xqxxlq9w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D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Over the past review period, my focus centered on building scalable computational infrastructure, accelerating core pipeline assets, and delivering actionable bioinformatics rationales across CAR-T programs[cite: 1]. I architected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AI-enabled CAR-T target knowledge graph</w:t>
      </w:r>
      <w:r w:rsidDel="00000000" w:rsidR="00000000" w:rsidRPr="00000000">
        <w:rPr>
          <w:color w:val="1f1f1f"/>
          <w:rtl w:val="0"/>
        </w:rPr>
        <w:t xml:space="preserve"> to unify fragmented target evaluations into a reproducible framework—expediting governance transitions for key programs and identifying novel gastrointestinal targets[cite: 1]. Furthermore, I conducted multi-target expression profiling across 4 prostate targets (KLK2, PSMA/FOLH1, STEAP1, STEAP2), led the computational strategy for clinical companion diagnostic cutoffs for Precision Medicine (PMED), established the TME mechanistic rationale for CAR-T armoring, directed the successful Calico project/data handoff, and advanced foundational target biology research toward publication in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JITC</w:t>
      </w:r>
      <w:r w:rsidDel="00000000" w:rsidR="00000000" w:rsidRPr="00000000">
        <w:rPr>
          <w:color w:val="1f1f1f"/>
          <w:rtl w:val="0"/>
        </w:rPr>
        <w:t xml:space="preserve">[cite: 1].</w:t>
      </w:r>
    </w:p>
    <w:p w:rsidR="00000000" w:rsidDel="00000000" w:rsidP="00000000" w:rsidRDefault="00000000" w:rsidRPr="00000000" w14:paraId="0000000E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qebb96s5a335" w:id="2"/>
      <w:bookmarkEnd w:id="2"/>
      <w:r w:rsidDel="00000000" w:rsidR="00000000" w:rsidRPr="00000000">
        <w:rPr>
          <w:color w:val="1f1f1f"/>
          <w:sz w:val="26"/>
          <w:szCs w:val="26"/>
          <w:rtl w:val="0"/>
        </w:rPr>
        <w:t xml:space="preserve">Core Accomplishments &amp; Impact</w:t>
      </w:r>
    </w:p>
    <w:p w:rsidR="00000000" w:rsidDel="00000000" w:rsidP="00000000" w:rsidRDefault="00000000" w:rsidRPr="00000000" w14:paraId="0000001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530f1fgds2jt" w:id="3"/>
      <w:bookmarkEnd w:id="3"/>
      <w:r w:rsidDel="00000000" w:rsidR="00000000" w:rsidRPr="00000000">
        <w:rPr>
          <w:color w:val="1f1f1f"/>
          <w:sz w:val="22"/>
          <w:szCs w:val="22"/>
          <w:rtl w:val="0"/>
        </w:rPr>
        <w:t xml:space="preserve">1. Advanced Target Discovery &amp; Evaluation Framework — Platform Modernization &amp; 4-Target Prostate Profiling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Replace fragmented, manual target evaluation workflows with a centralized, reproducible analytics platform to accelerate program prioritization across solid tumor indications[cite: 1].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Actions Taken: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Architected and deployed an AI-enabled, reproducible target evaluation platform and knowledge graph, consolidating multi-omics, transcriptomic, and proteomic target data into a single "one-stop shop" across programs[cite: 1].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Executed comprehensive multi-tier target expression and co-expression profiling for 4 core prostate targets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KLK2, PSMA/FOLH1, STEAP1, and STEAP2</w:t>
      </w:r>
      <w:r w:rsidDel="00000000" w:rsidR="00000000" w:rsidRPr="00000000">
        <w:rPr>
          <w:color w:val="1f1f1f"/>
          <w:rtl w:val="0"/>
        </w:rPr>
        <w:t xml:space="preserve">)[cite: 1]. Integrated bulk TCGA-PRAD and GTEx recomputed expression datasets with single-cell prostate atlases to establish tissue specificity, systemic baseline expression, and TME cell-type resolution[cite: 1].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Evaluated inflammatory proxy datasets and ChIP-Atlas transcriptional binding data (e.g., NF-κB, STAT3) to model cytokine-driven target modulation and target stability under inflammatory conditions[cite: 1].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Extended the evaluation framework to colorectal cancer (CRC) cohorts to screen for high-potency novel targets[cite: 1].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Formatted platform outputs into high-impact presentation assets for external scientific dissemination[cite: 1].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Results: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Accelerated Governance &amp; Multi-Target Resolution:</w:t>
      </w:r>
      <w:r w:rsidDel="00000000" w:rsidR="00000000" w:rsidRPr="00000000">
        <w:rPr>
          <w:color w:val="1f1f1f"/>
          <w:rtl w:val="0"/>
        </w:rPr>
        <w:t xml:space="preserve"> Quantified the high tissue specificity of KLK2 and PSMA versus the broader systemic baselines of the STEAP family, providing the quantitative evidence base that supported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expedited Lead Optimization (LO) governance transition</w:t>
      </w:r>
      <w:r w:rsidDel="00000000" w:rsidR="00000000" w:rsidRPr="00000000">
        <w:rPr>
          <w:color w:val="1f1f1f"/>
          <w:rtl w:val="0"/>
        </w:rPr>
        <w:t xml:space="preserve"> for prostate targets[cite: 1].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Pipeline Expansion:</w:t>
      </w:r>
      <w:r w:rsidDel="00000000" w:rsidR="00000000" w:rsidRPr="00000000">
        <w:rPr>
          <w:color w:val="1f1f1f"/>
          <w:rtl w:val="0"/>
        </w:rPr>
        <w:t xml:space="preserve"> Identified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highly recommended novel CRC targets</w:t>
      </w:r>
      <w:r w:rsidDel="00000000" w:rsidR="00000000" w:rsidRPr="00000000">
        <w:rPr>
          <w:color w:val="1f1f1f"/>
          <w:rtl w:val="0"/>
        </w:rPr>
        <w:t xml:space="preserve">, currently queued for active team exploration[cite: 1].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External Visibility:</w:t>
      </w:r>
      <w:r w:rsidDel="00000000" w:rsidR="00000000" w:rsidRPr="00000000">
        <w:rPr>
          <w:color w:val="1f1f1f"/>
          <w:rtl w:val="0"/>
        </w:rPr>
        <w:t xml:space="preserve"> Platform methodology and target discovery findings were selected and highlighted in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ACOS poster presentation</w:t>
      </w:r>
      <w:r w:rsidDel="00000000" w:rsidR="00000000" w:rsidRPr="00000000">
        <w:rPr>
          <w:color w:val="1f1f1f"/>
          <w:rtl w:val="0"/>
        </w:rPr>
        <w:t xml:space="preserve">[cite: 1].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1s2ynrkwixjg" w:id="4"/>
      <w:bookmarkEnd w:id="4"/>
      <w:r w:rsidDel="00000000" w:rsidR="00000000" w:rsidRPr="00000000">
        <w:rPr>
          <w:color w:val="1f1f1f"/>
          <w:sz w:val="22"/>
          <w:szCs w:val="22"/>
          <w:rtl w:val="0"/>
        </w:rPr>
        <w:t xml:space="preserve">2. CLDN18.2 CAR-T Companion Diagnostic (CDx) Cutoff Assessment &amp; Patient Selection Strategy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Establish a data-backed biomarker threshold strategy for CLDN18.2 to guide clinical trial patient selection without unnecessarily restricting patient eligibility[cite: 1].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Actions Taken: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Led the computational and statistical assessment of companion diagnostic expression cutoffs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CLDN18.2</w:t>
      </w:r>
      <w:r w:rsidDel="00000000" w:rsidR="00000000" w:rsidRPr="00000000">
        <w:rPr>
          <w:color w:val="1f1f1f"/>
          <w:rtl w:val="0"/>
        </w:rPr>
        <w:t xml:space="preserve"> across clinical trial patient samples[cite: 1].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Evaluated expression distribution matrices and paired IHC/clinical data to model therapeutic sensitivity windows and positivity thresholds[cite: 1].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Performed rigorous risk-benefit sensitivity modeling to evaluate multi-cutoff screening strategies[cite: 1].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Results: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Informed Clinical Decision &amp; Broadened Enrollment:</w:t>
      </w:r>
      <w:r w:rsidDel="00000000" w:rsidR="00000000" w:rsidRPr="00000000">
        <w:rPr>
          <w:color w:val="1f1f1f"/>
          <w:rtl w:val="0"/>
        </w:rPr>
        <w:t xml:space="preserve"> Delivered the core analytical foundation used by PMED leadership to lock in the primary CDx cutoff for trial eligibility[cite: 1].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Optimized Inclusion Criteria:</w:t>
      </w:r>
      <w:r w:rsidDel="00000000" w:rsidR="00000000" w:rsidRPr="00000000">
        <w:rPr>
          <w:color w:val="1f1f1f"/>
          <w:rtl w:val="0"/>
        </w:rPr>
        <w:t xml:space="preserve"> Successfully advocated against imposing a restrictive second cutoff threshold, demonstrating that a single-cutoff approach preserved therapeutic efficacy while maximizing patient population coverage for the CLDN18.2 CAR-T trial[cite: 1].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v4rs0blkn3vk" w:id="5"/>
      <w:bookmarkEnd w:id="5"/>
      <w:r w:rsidDel="00000000" w:rsidR="00000000" w:rsidRPr="00000000">
        <w:rPr>
          <w:color w:val="1f1f1f"/>
          <w:sz w:val="22"/>
          <w:szCs w:val="22"/>
          <w:rtl w:val="0"/>
        </w:rPr>
        <w:t xml:space="preserve">3. Calico Project Handoff, Data Infrastructure &amp; Contractor Leadership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Ensure seamless operational continuity, data security, and cross-functional alignment during the first quarter Calico project transition[cite: 1].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Actions Taken: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Managed and executed the technical data handoff for the Calico collaboration during Q1[cite: 1].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Designed and verified secure data transfer protocols to transfer complex genomic and multi-omic datasets between internal infrastructure and external partners[cite: 1].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Directed cross-functional coordination and oversaw external contractors, establishing clear deliverables, tracking milestone completion, and validating analytical outputs[cite: 1].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Results: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Operational Continuity:</w:t>
      </w:r>
      <w:r w:rsidDel="00000000" w:rsidR="00000000" w:rsidRPr="00000000">
        <w:rPr>
          <w:color w:val="1f1f1f"/>
          <w:rtl w:val="0"/>
        </w:rPr>
        <w:t xml:space="preserve"> Successfully completed the 3-month Calico transition on schedule with zero data integrity issues or disruption to downstream pipeline timelines[cite: 1].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bwc2mghd327g" w:id="6"/>
      <w:bookmarkEnd w:id="6"/>
      <w:r w:rsidDel="00000000" w:rsidR="00000000" w:rsidRPr="00000000">
        <w:rPr>
          <w:color w:val="1f1f1f"/>
          <w:sz w:val="22"/>
          <w:szCs w:val="22"/>
          <w:rtl w:val="0"/>
        </w:rPr>
        <w:t xml:space="preserve">4. Armoring Strategy for CAR-T — Prostate Cancer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Characterize the tumor microenvironment (TME) and tumor-infiltrating lymphocyte (TIL) landscape to identify high-rationale armoring strategies for solid tumor CAR-T programs[cite: 1].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Actions Taken: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Analyzed TME and TIL expression profiles across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 prostate cancer datasets and 1 CRC dataset</w:t>
      </w:r>
      <w:r w:rsidDel="00000000" w:rsidR="00000000" w:rsidRPr="00000000">
        <w:rPr>
          <w:color w:val="1f1f1f"/>
          <w:rtl w:val="0"/>
        </w:rPr>
        <w:t xml:space="preserve"> to map immunosuppressive barriers and receptor signaling status[cite: 1].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Discovered a distinct "signaling starvation" state: TILs in both PC and CRC tumors retain high receptor density and intact intracellular signaling machinery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IL-7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IL-15</w:t>
      </w:r>
      <w:r w:rsidDel="00000000" w:rsidR="00000000" w:rsidRPr="00000000">
        <w:rPr>
          <w:color w:val="1f1f1f"/>
          <w:rtl w:val="0"/>
        </w:rPr>
        <w:t xml:space="preserve">, despite operating in a ligand-depleted TME[cite: 1].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Profiled effector cell populations to show that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IL-21R</w:t>
      </w:r>
      <w:r w:rsidDel="00000000" w:rsidR="00000000" w:rsidRPr="00000000">
        <w:rPr>
          <w:color w:val="1f1f1f"/>
          <w:rtl w:val="0"/>
        </w:rPr>
        <w:t xml:space="preserve"> remains expressed on CD8+ effector cells, demonstrating preserved responsiveness to IL-21 signaling[cite: 1].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Results: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Shaped Strategic Direction:</w:t>
      </w:r>
      <w:r w:rsidDel="00000000" w:rsidR="00000000" w:rsidRPr="00000000">
        <w:rPr>
          <w:color w:val="1f1f1f"/>
          <w:rtl w:val="0"/>
        </w:rPr>
        <w:t xml:space="preserve"> Established the mechanistic rationale that positioned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IL-7 / IL-15 / IL-21 axis</w:t>
      </w:r>
      <w:r w:rsidDel="00000000" w:rsidR="00000000" w:rsidRPr="00000000">
        <w:rPr>
          <w:color w:val="1f1f1f"/>
          <w:rtl w:val="0"/>
        </w:rPr>
        <w:t xml:space="preserve"> as the leading candidate strategy for prostate CAR-T armoring to prevent terminal T-cell exhaustion[cite: 1].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3mhqi21x89mp" w:id="7"/>
      <w:bookmarkEnd w:id="7"/>
      <w:r w:rsidDel="00000000" w:rsidR="00000000" w:rsidRPr="00000000">
        <w:rPr>
          <w:color w:val="1f1f1f"/>
          <w:sz w:val="22"/>
          <w:szCs w:val="22"/>
          <w:rtl w:val="0"/>
        </w:rPr>
        <w:t xml:space="preserve">5. Enhancing Bioinformatics Manuscript — PTPN2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Elevate the bioinformatic rigor and scientific documentation for foundational target biology research on PTPN2[cite: 1].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Actions Taken: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Executed enhanced multi-omic, regulatory, and pathway enrichment analyses investigating PTPN2 signaling networks[cite: 1].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Developed publication-ready figures and validated underlying computational code to guarantee full analytical reproducibility[cite: 1].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Results: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Advanced Toward Publication:</w:t>
      </w:r>
      <w:r w:rsidDel="00000000" w:rsidR="00000000" w:rsidRPr="00000000">
        <w:rPr>
          <w:color w:val="1f1f1f"/>
          <w:rtl w:val="0"/>
        </w:rPr>
        <w:t xml:space="preserve"> Completed the enhanced bioinformatic package and successfully submitted the manuscript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internal review</w:t>
      </w:r>
      <w:r w:rsidDel="00000000" w:rsidR="00000000" w:rsidRPr="00000000">
        <w:rPr>
          <w:color w:val="1f1f1f"/>
          <w:rtl w:val="0"/>
        </w:rPr>
        <w:t xml:space="preserve">, clearing the path for external submission to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Journal for ImmunoTherapy of Cancer</w:t>
      </w:r>
      <w:r w:rsidDel="00000000" w:rsidR="00000000" w:rsidRPr="00000000">
        <w:rPr>
          <w:color w:val="1f1f1f"/>
          <w:rtl w:val="0"/>
        </w:rPr>
        <w:t xml:space="preserve"> (JITC)[cite: 1].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  <w:rPr>
          <w:color w:val="1f1f1f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