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ycq9sd5vf5z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Annual Performance Self-Assessment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i361s84id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Over the past review period, my focus centered on building scalable computational infrastructure, accelerating core pipeline assets, and delivering actionable bioinformatics rationales across CAR-T programs. By architecting an </w:t>
      </w:r>
      <w:r w:rsidDel="00000000" w:rsidR="00000000" w:rsidRPr="00000000">
        <w:rPr>
          <w:b w:val="1"/>
          <w:bCs w:val="1"/>
          <w:rtl w:val="0"/>
        </w:rPr>
        <w:t xml:space="preserve">AI-enabled CAR-T target knowledge graph</w:t>
      </w:r>
      <w:r w:rsidDel="00000000" w:rsidR="00000000" w:rsidRPr="00000000">
        <w:rPr>
          <w:rtl w:val="0"/>
        </w:rPr>
        <w:t xml:space="preserve">, I transformed fragmented manual target evaluations into a unified, reproducible framework—expediting governance transitions for key programs and identifying novel gastrointestinal targets. Additionally, I provided critical analytical support to Precision Medicine (PMED) for clinical companion diagnostic cutoffs, established the TME mechanistic rationale for prostate CAR-T armoring strategies, and advanced foundational target biology research toward publication in </w:t>
      </w:r>
      <w:r w:rsidDel="00000000" w:rsidR="00000000" w:rsidRPr="00000000">
        <w:rPr>
          <w:i w:val="1"/>
          <w:iCs w:val="1"/>
          <w:rtl w:val="0"/>
        </w:rPr>
        <w:t xml:space="preserve">JITC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k4qjrip2e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Accomplishments &amp; Impact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l04qjyjbd37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Advanced Target Discovery &amp; Evaluation Framework — Platform Modernization &amp; Reproducible Analytics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Replace fragmented, manual target evaluation workflows with a centralized, reproducible analytics platform to accelerate program prioritization.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 Taken: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Architected and deployed an AI-enabled, reproducible target evaluation platform and knowledge graph, consolidating multi-omics, transcriptomic, and proteomic target data into a single "one-stop shop" across programs.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Applied the platform to generate the evidence base for evaluating prostate targets </w:t>
      </w:r>
      <w:r w:rsidDel="00000000" w:rsidR="00000000" w:rsidRPr="00000000">
        <w:rPr>
          <w:b w:val="1"/>
          <w:bCs w:val="1"/>
          <w:rtl w:val="0"/>
        </w:rPr>
        <w:t xml:space="preserve">KLK2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STEAP1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Extended the evaluation framework to colorectal cancer (CRC) cohorts to screen for high-potency novel targets.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Translated platform outputs into high-impact presentation assets for external scientific dissemination.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Results: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Accelerated Governance:</w:t>
      </w:r>
      <w:r w:rsidDel="00000000" w:rsidR="00000000" w:rsidRPr="00000000">
        <w:rPr>
          <w:rtl w:val="0"/>
        </w:rPr>
        <w:t xml:space="preserve"> Provided the quantitative evidence base that supported an </w:t>
      </w:r>
      <w:r w:rsidDel="00000000" w:rsidR="00000000" w:rsidRPr="00000000">
        <w:rPr>
          <w:b w:val="1"/>
          <w:bCs w:val="1"/>
          <w:rtl w:val="0"/>
        </w:rPr>
        <w:t xml:space="preserve">expedited Lead Optimization (LO) governance transition</w:t>
      </w:r>
      <w:r w:rsidDel="00000000" w:rsidR="00000000" w:rsidRPr="00000000">
        <w:rPr>
          <w:rtl w:val="0"/>
        </w:rPr>
        <w:t xml:space="preserve"> for the prostate </w:t>
      </w:r>
      <w:r w:rsidDel="00000000" w:rsidR="00000000" w:rsidRPr="00000000">
        <w:rPr>
          <w:b w:val="1"/>
          <w:bCs w:val="1"/>
          <w:rtl w:val="0"/>
        </w:rPr>
        <w:t xml:space="preserve">KLK2/STEAP1</w:t>
      </w:r>
      <w:r w:rsidDel="00000000" w:rsidR="00000000" w:rsidRPr="00000000">
        <w:rPr>
          <w:rtl w:val="0"/>
        </w:rPr>
        <w:t xml:space="preserve"> program.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Pipeline Expansion:</w:t>
      </w:r>
      <w:r w:rsidDel="00000000" w:rsidR="00000000" w:rsidRPr="00000000">
        <w:rPr>
          <w:rtl w:val="0"/>
        </w:rPr>
        <w:t xml:space="preserve"> Identified </w:t>
      </w:r>
      <w:r w:rsidDel="00000000" w:rsidR="00000000" w:rsidRPr="00000000">
        <w:rPr>
          <w:b w:val="1"/>
          <w:bCs w:val="1"/>
          <w:rtl w:val="0"/>
        </w:rPr>
        <w:t xml:space="preserve">2 highly recommended CRC targets</w:t>
      </w:r>
      <w:r w:rsidDel="00000000" w:rsidR="00000000" w:rsidRPr="00000000">
        <w:rPr>
          <w:rtl w:val="0"/>
        </w:rPr>
        <w:t xml:space="preserve">, currently queued for active team exploration.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External Visibility:</w:t>
      </w:r>
      <w:r w:rsidDel="00000000" w:rsidR="00000000" w:rsidRPr="00000000">
        <w:rPr>
          <w:rtl w:val="0"/>
        </w:rPr>
        <w:t xml:space="preserve"> Platform outputs were selected and highlighted in an </w:t>
      </w:r>
      <w:r w:rsidDel="00000000" w:rsidR="00000000" w:rsidRPr="00000000">
        <w:rPr>
          <w:b w:val="1"/>
          <w:bCs w:val="1"/>
          <w:rtl w:val="0"/>
        </w:rPr>
        <w:t xml:space="preserve">AACR poster presentation</w:t>
      </w:r>
      <w:r w:rsidDel="00000000" w:rsidR="00000000" w:rsidRPr="00000000">
        <w:rPr>
          <w:rtl w:val="0"/>
        </w:rPr>
        <w:t xml:space="preserve">, broadening external visibility for our target evaluation methodology.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kzoyr4gzkty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CLDN18.2 CAR-T Companion Diagnostic (CDx) Cutoff Assessment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Establish a data-backed biomarker threshold strategy for CLDN18.2 to guide clinical trial patient selection.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 Taken: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Led the computational and statistical assessment of companion diagnostic expression cutoffs for </w:t>
      </w:r>
      <w:r w:rsidDel="00000000" w:rsidR="00000000" w:rsidRPr="00000000">
        <w:rPr>
          <w:b w:val="1"/>
          <w:bCs w:val="1"/>
          <w:rtl w:val="0"/>
        </w:rPr>
        <w:t xml:space="preserve">CLDN18.2</w:t>
      </w:r>
      <w:r w:rsidDel="00000000" w:rsidR="00000000" w:rsidRPr="00000000">
        <w:rPr>
          <w:rtl w:val="0"/>
        </w:rPr>
        <w:t xml:space="preserve"> across clinical trial patient samples.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Evaluated expression distribution matrices and paired IHC/clinical data to model therapeutic sensitivity windows and positivity thresholds.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Partnered directly with Precision Medicine (PMED) leadership to present clear, decision-ready risk-benefit sensitivity profiles.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Results: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Informed Clinical Decision:</w:t>
      </w:r>
      <w:r w:rsidDel="00000000" w:rsidR="00000000" w:rsidRPr="00000000">
        <w:rPr>
          <w:rtl w:val="0"/>
        </w:rPr>
        <w:t xml:space="preserve"> Delivered the core analytical foundation that PMED used to select and lock in the </w:t>
      </w:r>
      <w:r w:rsidDel="00000000" w:rsidR="00000000" w:rsidRPr="00000000">
        <w:rPr>
          <w:b w:val="1"/>
          <w:bCs w:val="1"/>
          <w:rtl w:val="0"/>
        </w:rPr>
        <w:t xml:space="preserve">official CDx cutoff</w:t>
      </w:r>
      <w:r w:rsidDel="00000000" w:rsidR="00000000" w:rsidRPr="00000000">
        <w:rPr>
          <w:rtl w:val="0"/>
        </w:rPr>
        <w:t xml:space="preserve"> applied to patient samples for the </w:t>
      </w:r>
      <w:r w:rsidDel="00000000" w:rsidR="00000000" w:rsidRPr="00000000">
        <w:rPr>
          <w:b w:val="1"/>
          <w:bCs w:val="1"/>
          <w:rtl w:val="0"/>
        </w:rPr>
        <w:t xml:space="preserve">CLDN18.2 CAR-T clinical trial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c9rxycnt6pk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Armoring Strategy for CAR-T — Prostate Cancer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Characterize the tumor microenvironment (TME) and tumor-infiltrating lymphocyte (TIL) landscape to identify high-rationale armoring strategies for solid tumor CAR-T programs.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 Taken: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Analyzed TME and TIL expression profiles across </w:t>
      </w:r>
      <w:r w:rsidDel="00000000" w:rsidR="00000000" w:rsidRPr="00000000">
        <w:rPr>
          <w:b w:val="1"/>
          <w:bCs w:val="1"/>
          <w:rtl w:val="0"/>
        </w:rPr>
        <w:t xml:space="preserve">3 prostate cancer datasets and 1 CRC dataset</w:t>
      </w:r>
      <w:r w:rsidDel="00000000" w:rsidR="00000000" w:rsidRPr="00000000">
        <w:rPr>
          <w:rtl w:val="0"/>
        </w:rPr>
        <w:t xml:space="preserve"> to map immunosuppressive barriers and receptor signaling status.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Discovered a distinct "signaling starvation" state: TILs in both PC and CRC tumors retain high receptor density and intact intracellular signaling machinery for </w:t>
      </w:r>
      <w:r w:rsidDel="00000000" w:rsidR="00000000" w:rsidRPr="00000000">
        <w:rPr>
          <w:b w:val="1"/>
          <w:bCs w:val="1"/>
          <w:rtl w:val="0"/>
        </w:rPr>
        <w:t xml:space="preserve">IL-7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IL-15</w:t>
      </w:r>
      <w:r w:rsidDel="00000000" w:rsidR="00000000" w:rsidRPr="00000000">
        <w:rPr>
          <w:rtl w:val="0"/>
        </w:rPr>
        <w:t xml:space="preserve">, despite operating in a ligand-depleted TME.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Profiled effector cell populations to show that </w:t>
      </w:r>
      <w:r w:rsidDel="00000000" w:rsidR="00000000" w:rsidRPr="00000000">
        <w:rPr>
          <w:b w:val="1"/>
          <w:bCs w:val="1"/>
          <w:rtl w:val="0"/>
        </w:rPr>
        <w:t xml:space="preserve">IL-21R</w:t>
      </w:r>
      <w:r w:rsidDel="00000000" w:rsidR="00000000" w:rsidRPr="00000000">
        <w:rPr>
          <w:rtl w:val="0"/>
        </w:rPr>
        <w:t xml:space="preserve"> remains expressed on CD8+ effector cells, demonstrating preserved responsiveness to IL-21 signaling.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Results: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Shaped Strategic Direction:</w:t>
      </w:r>
      <w:r w:rsidDel="00000000" w:rsidR="00000000" w:rsidRPr="00000000">
        <w:rPr>
          <w:rtl w:val="0"/>
        </w:rPr>
        <w:t xml:space="preserve"> Established the mechanistic rationale that positioned the </w:t>
      </w:r>
      <w:r w:rsidDel="00000000" w:rsidR="00000000" w:rsidRPr="00000000">
        <w:rPr>
          <w:b w:val="1"/>
          <w:bCs w:val="1"/>
          <w:rtl w:val="0"/>
        </w:rPr>
        <w:t xml:space="preserve">IL-7 / IL-15 / IL-21 axis</w:t>
      </w:r>
      <w:r w:rsidDel="00000000" w:rsidR="00000000" w:rsidRPr="00000000">
        <w:rPr>
          <w:rtl w:val="0"/>
        </w:rPr>
        <w:t xml:space="preserve"> as the leading candidate strategy for prostate CAR-T armoring to prevent terminal T-cell exhaustion.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rmch5bejwu7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Enhancing Bioinformatics Manuscript — PTPN2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Elevate the bioinformatic rigor and scientific documentation for foundational target biology research on PTPN2.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 Taken: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Executed enhanced multi-omic, regulatory, and pathway enrichment analyses investigating PTPN2 signaling networks.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Developed publication-ready figures and validated underlying computational code to guarantee full analytical reproducibility.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Results: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Advanced Toward Publication:</w:t>
      </w:r>
      <w:r w:rsidDel="00000000" w:rsidR="00000000" w:rsidRPr="00000000">
        <w:rPr>
          <w:rtl w:val="0"/>
        </w:rPr>
        <w:t xml:space="preserve"> Completed the enhanced bioinformatic package and successfully submitted the manuscript for </w:t>
      </w:r>
      <w:r w:rsidDel="00000000" w:rsidR="00000000" w:rsidRPr="00000000">
        <w:rPr>
          <w:b w:val="1"/>
          <w:bCs w:val="1"/>
          <w:rtl w:val="0"/>
        </w:rPr>
        <w:t xml:space="preserve">internal review</w:t>
      </w:r>
      <w:r w:rsidDel="00000000" w:rsidR="00000000" w:rsidRPr="00000000">
        <w:rPr>
          <w:rtl w:val="0"/>
        </w:rPr>
        <w:t xml:space="preserve">, clearing the path for external submission to the </w:t>
      </w:r>
      <w:r w:rsidDel="00000000" w:rsidR="00000000" w:rsidRPr="00000000">
        <w:rPr>
          <w:i w:val="1"/>
          <w:iCs w:val="1"/>
          <w:rtl w:val="0"/>
        </w:rPr>
        <w:t xml:space="preserve">Journal for ImmunoTherapy of Cancer</w:t>
      </w:r>
      <w:r w:rsidDel="00000000" w:rsidR="00000000" w:rsidRPr="00000000">
        <w:rPr>
          <w:rtl w:val="0"/>
        </w:rPr>
        <w:t xml:space="preserve"> (JITC).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