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1od3xe1l639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Performance Self-Assessment — Core Accomplishments (STAR Format)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Draft — please review bracketed items and fill in specifics (dates, metrics, collaborators) where noted. Ordered by decision-level impact.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2cvz5v4kb3z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1: Advanced Target Discovery &amp; Evaluation Framework — Platform Modernization &amp; Reproducible Analytics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Situation:</w:t>
      </w:r>
      <w:r w:rsidDel="00000000" w:rsidR="00000000" w:rsidRPr="00000000">
        <w:rPr>
          <w:rtl w:val="0"/>
        </w:rPr>
        <w:t xml:space="preserve"> The team needed a modernized, reproducible platform to support target discovery and evaluation for CAR-T programs, replacing fragmented or manual workflows with a unified, scalable system.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Task:</w:t>
      </w:r>
      <w:r w:rsidDel="00000000" w:rsidR="00000000" w:rsidRPr="00000000">
        <w:rPr>
          <w:rtl w:val="0"/>
        </w:rPr>
        <w:t xml:space="preserve"> Build an AI-enabled platform that serves as a "one-stop shop" for CAR-T target knowledge — consolidating target discovery, evaluation, and prioritization into a single reproducible analytics framework usable across programs.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Action: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Designed and implemented a CAR-T target knowledge graph integrating [data sources — e.g., expression, genomic, literature/AI-derived evidence — </w:t>
      </w:r>
      <w:r w:rsidDel="00000000" w:rsidR="00000000" w:rsidRPr="00000000">
        <w:rPr>
          <w:i w:val="1"/>
          <w:iCs w:val="1"/>
          <w:rtl w:val="0"/>
        </w:rPr>
        <w:t xml:space="preserve">please confirm</w:t>
      </w:r>
      <w:r w:rsidDel="00000000" w:rsidR="00000000" w:rsidRPr="00000000">
        <w:rPr>
          <w:rtl w:val="0"/>
        </w:rPr>
        <w:t xml:space="preserve">] to enable systematic target discovery and evaluation.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Built the platform with reproducibility and modernization as core design principles (e.g., [versioned pipelines / standardized analytics environment — </w:t>
      </w:r>
      <w:r w:rsidDel="00000000" w:rsidR="00000000" w:rsidRPr="00000000">
        <w:rPr>
          <w:i w:val="1"/>
          <w:iCs w:val="1"/>
          <w:rtl w:val="0"/>
        </w:rPr>
        <w:t xml:space="preserve">confirm specifics</w:t>
      </w:r>
      <w:r w:rsidDel="00000000" w:rsidR="00000000" w:rsidRPr="00000000">
        <w:rPr>
          <w:rtl w:val="0"/>
        </w:rPr>
        <w:t xml:space="preserve">]), enabling AI-assisted target assessment at scale.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Applied the framework to evaluate prostate cancer targets KLK2 and STEAP1, generating evidence that supported an expedited Lead Optimization (LO) governance transition.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Extended the framework's application to colorectal cancer (CRC), identifying 2 highly recommended CRC targets for the team to explore further.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Result: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Enabled expedited governance transition for the KLK2/STEAP1 prostate program by providing timely, systematic target evidence.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Surfaced 2 new high-priority CRC target candidates, expanding the team's target pipeline.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Platform results were incorporated into and highlighted in an AACR poster, increasing visibility of the framework's impact both internally and externally.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m612nf9w0x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2: CLDN18.2 CAR-T Companion Diagnostic (CDx) Cutoff Assessment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Situation:</w:t>
      </w:r>
      <w:r w:rsidDel="00000000" w:rsidR="00000000" w:rsidRPr="00000000">
        <w:rPr>
          <w:rtl w:val="0"/>
        </w:rPr>
        <w:t xml:space="preserve"> The CLDN18.2 CAR-T program needed a defined companion diagnostic (CDx) cutoff to appropriately select patients for clinical trials, requiring rigorous assessment of expression cutoff thresholds in clinical trial samples.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Task:</w:t>
      </w:r>
      <w:r w:rsidDel="00000000" w:rsidR="00000000" w:rsidRPr="00000000">
        <w:rPr>
          <w:rtl w:val="0"/>
        </w:rPr>
        <w:t xml:space="preserve"> Provide analytical support to Precision Medicine (PMED) for their decision on which CDx cutoff to use for CLDN18.2 patient selection in clinical trial samples.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Action: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Conducted a cutoff assessment analysis of CLDN18.2 expression/staining data across clinical trial samples.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Evaluated candidate cutoff thresholds against [clinical/response outcome data or assay performance criteria — </w:t>
      </w:r>
      <w:r w:rsidDel="00000000" w:rsidR="00000000" w:rsidRPr="00000000">
        <w:rPr>
          <w:i w:val="1"/>
          <w:iCs w:val="1"/>
          <w:rtl w:val="0"/>
        </w:rPr>
        <w:t xml:space="preserve">please confirm</w:t>
      </w:r>
      <w:r w:rsidDel="00000000" w:rsidR="00000000" w:rsidRPr="00000000">
        <w:rPr>
          <w:rtl w:val="0"/>
        </w:rPr>
        <w:t xml:space="preserve">].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Partnered with the PMED team to translate analytical findings into an actionable recommendation.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Result: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Provided the analytical foundation that supported PMED's decision on the CDx cutoff to apply to clinical trial patient samples, directly informing patient selection strategy for the CLDN18.2 CAR-T trial.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zus27bhtuix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3: Armoring Strategy for CAR-T — Prostate Cancer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Situation:</w:t>
      </w:r>
      <w:r w:rsidDel="00000000" w:rsidR="00000000" w:rsidRPr="00000000">
        <w:rPr>
          <w:rtl w:val="0"/>
        </w:rPr>
        <w:t xml:space="preserve"> CAR-T therapies for prostate cancer face challenges (e.g., limited persistence, immunosuppressive tumor microenvironment) that "armoring" strategies aim to address.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Task:</w:t>
      </w:r>
      <w:r w:rsidDel="00000000" w:rsidR="00000000" w:rsidRPr="00000000">
        <w:rPr>
          <w:rtl w:val="0"/>
        </w:rPr>
        <w:t xml:space="preserve"> Analyze the tumor microenvironment (TME) and tumor-infiltrating lymphocyte (TIL) landscape across prostate and CRC datasets to identify the cytokine signaling axis with the strongest rationale for a CAR-T armoring strategy.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Action: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Analyzed 3 prostate cancer (PC) and 1 CRC dataset to characterize the TME and TIL phenotypes.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Profiled T-cell phenotypes, finding increased exhausted and terminal CD8+ populations, decreased CD8 progenitor cells, and increased effector memory CD8+ cells in both PC and CRC tumors.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Performed Hallmark inflammatory pathway profiling, revealing heterogeneous TME inflammatory states across tumors.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Assessed cytokine receptor/ligand balance for IL-7 and IL-15, identifying a "signaling starvation" state: TILs retain high receptor density and intracellular signaling machinery (via high enrichment scores) but the TME is depleted of the ligands themselves.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Evaluated the IL-21 axis, finding IL-21R expression is low but preserved on CD8+ effector cells, indicating these cells remain responsive to IL-21 signaling.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Informed the team's cytokine-arming pathway strategy for prostate CAR-T, identifying the IL-7/IL-15/IL-21 signaling axis as a key therapeutic opportunity — since TILs retain the machinery to respond but the TME withholds the ligands, restoring this signaling (e.g., via armoring) is positioned as a viable path to prevent terminal T-cell exhaustion.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Note: Your notes open with "IL-12 path" but the findings you shared are about IL-7/IL-15/IL-21 — I've written the Result around the axis the data actually supports. Let me know if IL-12 was a separate conclusion I should fold in.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gcut2w5vd4y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4: Enhancing Bioinformatics Manuscript — PTPN2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Situation:</w:t>
      </w:r>
      <w:r w:rsidDel="00000000" w:rsidR="00000000" w:rsidRPr="00000000">
        <w:rPr>
          <w:rtl w:val="0"/>
        </w:rPr>
        <w:t xml:space="preserve"> A bioinformatics manuscript on PTPN2 [briefly describe biological context/relevance — </w:t>
      </w:r>
      <w:r w:rsidDel="00000000" w:rsidR="00000000" w:rsidRPr="00000000">
        <w:rPr>
          <w:i w:val="1"/>
          <w:iCs w:val="1"/>
          <w:rtl w:val="0"/>
        </w:rPr>
        <w:t xml:space="preserve">please confirm, e.g., role in T cell exhaustion / immune checkpoint regulation</w:t>
      </w:r>
      <w:r w:rsidDel="00000000" w:rsidR="00000000" w:rsidRPr="00000000">
        <w:rPr>
          <w:rtl w:val="0"/>
        </w:rPr>
        <w:t xml:space="preserve">] required additional analytical rigor or updated findings to strengthen its contribution.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Task:</w:t>
      </w:r>
      <w:r w:rsidDel="00000000" w:rsidR="00000000" w:rsidRPr="00000000">
        <w:rPr>
          <w:rtl w:val="0"/>
        </w:rPr>
        <w:t xml:space="preserve"> Strengthen the bioinformatics analysis underpinning the PTPN2 manuscript and move it through internal review toward external submission.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Action: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Enhanced the bioinformatics analysis supporting the manuscript's findings on PTPN2.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and submitted the manuscript for internal review.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Result: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Manuscript is currently in internal review, with feedback pending.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Positioned the work for external submission to the </w:t>
      </w:r>
      <w:r w:rsidDel="00000000" w:rsidR="00000000" w:rsidRPr="00000000">
        <w:rPr>
          <w:i w:val="1"/>
          <w:iCs w:val="1"/>
          <w:rtl w:val="0"/>
        </w:rPr>
        <w:t xml:space="preserve">Journal for ImmunoTherapy of Cancer (JITC)</w:t>
      </w:r>
      <w:r w:rsidDel="00000000" w:rsidR="00000000" w:rsidRPr="00000000">
        <w:rPr>
          <w:rtl w:val="0"/>
        </w:rPr>
        <w:t xml:space="preserve"> upon internal approval.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Note: Once internal feedback is incorporated and the manuscript is submitted externally (or accepted), update the Result with that milestone — it will read as a stronger, more complete accomplishment.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jmij4w4epvk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Next steps</w:t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IL-12 vs. IL-7/IL-15/IL-21 note in Accomplishment 3.</w:t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Accomplishment 4's Result once internal review feedback lands or the manuscript is submitted externally.</w:t>
      </w:r>
    </w:p>
    <w:p w:rsidR="00000000" w:rsidDel="00000000" w:rsidP="00000000" w:rsidRDefault="00000000" w:rsidRPr="00000000" w14:paraId="00000036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the bracketed items in Accomplishments 1 and 2 (data sources, cutoff criteria) if you want full precision.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fb5iw39res2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otbj9f0gamh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snpzzl05a2o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djf84lf6cp6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o2ffvl7yd0p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7ksd4vs0icr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r8to3hst7xm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Performance Self-Assessment — Core Accomplishments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yxv6pyhazt9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1: Advanced Target Discovery &amp; Evaluation Framework — Platform Modernization &amp; Reproducible Analytics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 built an AI-enabled, reproducible analytics platform that serves as a one-stop shop for CAR-T target knowledge — unifying target discovery, evaluation, and prioritization into a single knowledge graph usable across programs, replacing fragmented, manual workflows.</w:t>
      </w:r>
    </w:p>
    <w:p w:rsidR="00000000" w:rsidDel="00000000" w:rsidP="00000000" w:rsidRDefault="00000000" w:rsidRPr="00000000" w14:paraId="0000004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Results:</w:t>
      </w:r>
    </w:p>
    <w:p w:rsidR="00000000" w:rsidDel="00000000" w:rsidP="00000000" w:rsidRDefault="00000000" w:rsidRPr="00000000" w14:paraId="00000044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Accelerated a governance milestone: Applied the framework to evaluate prostate targets KLK2 and STEAP1, generating the evidence base that supported an expedited Lead Optimization (LO) governance transition.</w:t>
      </w:r>
    </w:p>
    <w:p w:rsidR="00000000" w:rsidDel="00000000" w:rsidP="00000000" w:rsidRDefault="00000000" w:rsidRPr="00000000" w14:paraId="0000004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Expanded the target pipeline: Extended the framework to CRC and identified 2 highly recommended CRC targets, now queued for team exploration.</w:t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Increased program visibility: Platform outputs were incorporated into and highlighted in an AACR poster, extending the work's visibility beyond the immediate team.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lh8i4vlobb1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2: CLDN18.2 CAR-T Companion Diagnostic (CDx) Cutoff Assessment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 led the analytical assessment of companion diagnostic expression cutoffs for CLDN18.2 across clinical trial samples, in direct support of Precision Medicine's (PMED) patient-selection strategy.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Result: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Directly informed a clinical trial decision: My cutoff analysis provided the analytical foundation PMED used to decide on the CDx cutoff applied to clinical trial patient samples, shaping patient selection for the CLDN18.2 CAR-T trial.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3n71qq0bw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3: Armoring Strategy for CAR-T — Prostate Cancer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 analyzed the tumor microenvironment (TME) and tumor-infiltrating lymphocyte (TIL) landscape across 3 prostate cancer and 1 CRC dataset to identify the strongest mechanistic rationale for a CAR-T armoring strategy.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Results: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Identified a therapeutic window: Found that TILs in both PC and CRC tumors retain high receptor density and intact intracellular signaling machinery for IL-7 and IL-15, despite a TME depleted of the ligands themselves — a "signaling starvation" state.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Surfaced a viable armoring target: Showed IL-21R remains expressed on CD8+ effector cells, indicating continued responsiveness to IL-21 signaling and a path to prevent terminal T-cell exhaustion.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Shaped strategic direction: These findings informed the team's cytokine-arming pathway strategy, positioning the IL-7/IL-15/IL-21 axis as the leading candidate for prostate CAR-T armoring.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sjpxjrxlsk4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Accomplishment 4: Enhancing Bioinformatics Manuscript — PTPN2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 strengthened the bioinformatics analysis underpinning a manuscript on PTPN2 and advanced it toward publication.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Result: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pacing w:after="24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Advanced the manuscript to internal review: Completed the enhanced analysis and submitted the manuscript for internal review, positioning it for external submission to the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Journal for ImmunoTherapy of Cancer (JITC)</w:t>
      </w:r>
      <w:r w:rsidDel="00000000" w:rsidR="00000000" w:rsidRPr="00000000">
        <w:rPr>
          <w:b w:val="1"/>
          <w:bCs w:val="1"/>
          <w:rtl w:val="0"/>
        </w:rPr>
        <w:t xml:space="preserve"> pending internal feedback.</w:t>
      </w:r>
    </w:p>
    <w:p w:rsidR="00000000" w:rsidDel="00000000" w:rsidP="00000000" w:rsidRDefault="00000000" w:rsidRPr="00000000" w14:paraId="000000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