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3730A3"/>
          <w:sz w:val="52"/>
          <w:szCs w:val="52"/>
        </w:rPr>
        <w:t xml:space="preserve">ML Scholarship Eligibility Predictor</w:t>
      </w:r>
    </w:p>
    <w:p>
      <w:pPr>
        <w:spacing w:after="60"/>
      </w:pPr>
      <w:r>
        <w:rPr>
          <w:rFonts w:ascii="Calibri" w:cs="Calibri" w:eastAsia="Calibri" w:hAnsi="Calibri"/>
          <w:i/>
          <w:iCs/>
          <w:color w:val="5B6270"/>
          <w:sz w:val="26"/>
          <w:szCs w:val="26"/>
        </w:rPr>
        <w:t xml:space="preserve">A free, open-source machine learning system that estimates scholarship eligibility from real student data</w:t>
      </w:r>
    </w:p>
    <w:p>
      <w:pPr>
        <w:spacing w:after="40"/>
      </w:pPr>
      <w:r>
        <w:rPr>
          <w:rFonts w:ascii="Calibri" w:cs="Calibri" w:eastAsia="Calibri" w:hAnsi="Calibri"/>
          <w:color w:val="5B6270"/>
          <w:sz w:val="22"/>
          <w:szCs w:val="22"/>
        </w:rPr>
        <w:t xml:space="preserve">Project Documentation &amp; Development Report</w:t>
      </w:r>
    </w:p>
    <w:p>
      <w:pPr>
        <w:spacing w:after="400"/>
      </w:pPr>
      <w:r>
        <w:rPr>
          <w:rFonts w:ascii="Calibri" w:cs="Calibri" w:eastAsia="Calibri" w:hAnsi="Calibri"/>
          <w:b/>
          <w:bCs/>
          <w:i w:val="false"/>
          <w:iCs w:val="false"/>
          <w:color w:val="1F2430"/>
          <w:sz w:val="22"/>
          <w:szCs w:val="22"/>
        </w:rPr>
        <w:t xml:space="preserve">Repository: </w:t>
      </w:r>
      <w:hyperlink w:history="1" r:id="rIdfufvax2r2dv8ctzqrrgnz">
        <w:r>
          <w:rPr>
            <w:rFonts w:ascii="Calibri" w:cs="Calibri" w:eastAsia="Calibri" w:hAnsi="Calibri"/>
            <w:color w:val="1155CC"/>
            <w:sz w:val="22"/>
            <w:szCs w:val="22"/>
            <w:u w:val="single"/>
          </w:rPr>
          <w:t xml:space="preserve">github.com/Tobinioluwa/ML-Scholarship-Eligibility-Predictor</w:t>
        </w:r>
      </w:hyperlink>
    </w:p>
    <w:p>
      <w:pPr>
        <w:pBdr>
          <w:bottom w:val="single" w:color="D8DAE3" w:sz="6" w:space="1"/>
        </w:pBdr>
        <w:spacing w:after="200" w:before="100"/>
      </w:pPr>
      <w:r>
        <w:t xml:space="preserve"/>
      </w:r>
    </w:p>
    <w:p>
      <w:pPr>
        <w:pStyle w:val="Heading1"/>
        <w:pBdr>
          <w:bottom w:val="single" w:color="3730A3" w:sz="8" w:space="6"/>
        </w:pBdr>
        <w:spacing w:after="200" w:before="420"/>
      </w:pPr>
      <w:r>
        <w:t xml:space="preserve">1. Project Overview</w:t>
      </w:r>
    </w:p>
    <w:p>
      <w:pPr>
        <w:spacing w:after="160" w:line="300"/>
      </w:pPr>
      <w:r>
        <w:rPr>
          <w:rFonts w:ascii="Calibri" w:cs="Calibri" w:eastAsia="Calibri" w:hAnsi="Calibri"/>
          <w:b w:val="false"/>
          <w:bCs w:val="false"/>
          <w:i w:val="false"/>
          <w:iCs w:val="false"/>
          <w:color w:val="1F2430"/>
          <w:sz w:val="22"/>
          <w:szCs w:val="22"/>
        </w:rPr>
        <w:t xml:space="preserve">The ML Scholarship Eligibility Predictor is a full-stack machine learning web application that estimates whether a student is likely to be eligible for a scholarship, based on their academic performance, financial/socioeconomic indicators, and access to support resources. It was built end-to-end — data pipeline, model training, and a public-facing web interface — as a free, open-source project with zero paid dependencies.</w:t>
      </w:r>
    </w:p>
    <w:p>
      <w:pPr>
        <w:pStyle w:val="Heading2"/>
        <w:spacing w:after="140" w:before="300"/>
      </w:pPr>
      <w:r>
        <w:t xml:space="preserve">Purpose &amp; Goals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Demonstrate a complete, honest, real-world machine learning workflow: data sourcing, feature engineering, model training/evaluation, and deployment.</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Give applicants a fast, free, self-serve way to estimate scholarship eligibility before formally applying.</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Do so entirely on real (not fabricated) student data, with full transparency about how any derived labels were computed.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Ship as a live, working web application anyone can deploy for $0.</w:t>
      </w:r>
    </w:p>
    <w:p>
      <w:pPr>
        <w:pStyle w:val="Heading2"/>
        <w:spacing w:after="140" w:before="300"/>
      </w:pPr>
      <w:r>
        <w:t xml:space="preserve">Repository &amp; Branch</w:t>
      </w:r>
    </w:p>
    <w:p>
      <w:pPr>
        <w:spacing w:after="160" w:line="300"/>
      </w:pPr>
      <w:r>
        <w:rPr>
          <w:rFonts w:ascii="Calibri" w:cs="Calibri" w:eastAsia="Calibri" w:hAnsi="Calibri"/>
          <w:b w:val="false"/>
          <w:bCs w:val="false"/>
          <w:i w:val="false"/>
          <w:iCs w:val="false"/>
          <w:color w:val="1F2430"/>
          <w:sz w:val="22"/>
          <w:szCs w:val="22"/>
        </w:rPr>
        <w:t xml:space="preserve">GitHub repository: </w:t>
      </w:r>
      <w:hyperlink w:history="1" r:id="rIde2xxmwd5s1yiezrsj3kis">
        <w:r>
          <w:rPr>
            <w:rFonts w:ascii="Calibri" w:cs="Calibri" w:eastAsia="Calibri" w:hAnsi="Calibri"/>
            <w:color w:val="1155CC"/>
            <w:sz w:val="22"/>
            <w:szCs w:val="22"/>
            <w:u w:val="single"/>
          </w:rPr>
          <w:t xml:space="preserve">Tobinioluwa/ML-Scholarship-Eligibility-Predictor</w:t>
        </w:r>
      </w:hyperlink>
    </w:p>
    <w:p>
      <w:pPr>
        <w:spacing w:after="160" w:line="300"/>
      </w:pPr>
      <w:r>
        <w:rPr>
          <w:rFonts w:ascii="Calibri" w:cs="Calibri" w:eastAsia="Calibri" w:hAnsi="Calibri"/>
          <w:b w:val="false"/>
          <w:bCs w:val="false"/>
          <w:i w:val="false"/>
          <w:iCs w:val="false"/>
          <w:color w:val="1F2430"/>
          <w:sz w:val="22"/>
          <w:szCs w:val="22"/>
        </w:rPr>
        <w:t xml:space="preserve">All development happened on the feature branch claude/ml-scholarship-predictor-lz3euc, shipped to the main branch through eight pull requests (see Section 12), each reviewed, tested locally, and squash-merged.</w:t>
      </w:r>
    </w:p>
    <w:p>
      <w:pPr>
        <w:pStyle w:val="Heading2"/>
        <w:spacing w:after="140" w:before="300"/>
      </w:pPr>
      <w:r>
        <w:t xml:space="preserve">Cost</w:t>
      </w:r>
    </w:p>
    <w:p>
      <w:pPr>
        <w:spacing w:after="160" w:line="300"/>
      </w:pPr>
      <w:r>
        <w:rPr>
          <w:rFonts w:ascii="Calibri" w:cs="Calibri" w:eastAsia="Calibri" w:hAnsi="Calibri"/>
          <w:b w:val="false"/>
          <w:bCs w:val="false"/>
          <w:i w:val="false"/>
          <w:iCs w:val="false"/>
          <w:color w:val="1F2430"/>
          <w:sz w:val="22"/>
          <w:szCs w:val="22"/>
        </w:rPr>
        <w:t xml:space="preserve">$0. Every tool, library, dataset, and hosting option used in this project is free and open-source: Python, Flask, scikit-learn, pandas, Bootstrap, Google Fonts, GitHub, and Render's free hosting tier. No paid APIs or services are used anywhere in the stack.</w:t>
      </w:r>
    </w:p>
    <w:p>
      <w:pPr>
        <w:pStyle w:val="Heading1"/>
        <w:pBdr>
          <w:bottom w:val="single" w:color="3730A3" w:sz="8" w:space="6"/>
        </w:pBdr>
        <w:spacing w:after="200" w:before="420"/>
      </w:pPr>
      <w:r>
        <w:t xml:space="preserve">2. Development Process &amp; Timeline</w:t>
      </w:r>
    </w:p>
    <w:p>
      <w:pPr>
        <w:spacing w:after="160" w:line="300"/>
      </w:pPr>
      <w:r>
        <w:rPr>
          <w:rFonts w:ascii="Calibri" w:cs="Calibri" w:eastAsia="Calibri" w:hAnsi="Calibri"/>
          <w:b w:val="false"/>
          <w:bCs w:val="false"/>
          <w:i w:val="false"/>
          <w:iCs w:val="false"/>
          <w:color w:val="1F2430"/>
          <w:sz w:val="22"/>
          <w:szCs w:val="22"/>
        </w:rPr>
        <w:t xml:space="preserve">The project was built iteratively across eight phases, each driven by a specific request and each ending in a tested, merged pull request. This section tells that story in order.</w:t>
      </w:r>
    </w:p>
    <w:p>
      <w:pPr>
        <w:pStyle w:val="Heading2"/>
        <w:spacing w:after="140" w:before="300"/>
      </w:pPr>
      <w:r>
        <w:t xml:space="preserve">Phase 1 — Project Setup</w:t>
      </w:r>
    </w:p>
    <w:p>
      <w:pPr>
        <w:spacing w:after="160" w:line="300"/>
      </w:pPr>
      <w:r>
        <w:rPr>
          <w:rFonts w:ascii="Calibri" w:cs="Calibri" w:eastAsia="Calibri" w:hAnsi="Calibri"/>
          <w:b w:val="false"/>
          <w:bCs w:val="false"/>
          <w:i w:val="false"/>
          <w:iCs w:val="false"/>
          <w:color w:val="1F2430"/>
          <w:sz w:val="22"/>
          <w:szCs w:val="22"/>
        </w:rPr>
        <w:t xml:space="preserve">The GitHub repository already existed (Tobinioluwa/ML-Scholarship-Eligibility-Predictor) but contained only a two-line stub README. All actual system development began from that empty starting point, on the designated feature branch.</w:t>
      </w:r>
    </w:p>
    <w:p>
      <w:pPr>
        <w:pStyle w:val="Heading2"/>
        <w:spacing w:after="140" w:before="300"/>
      </w:pPr>
      <w:r>
        <w:t xml:space="preserve">Phase 2 — Initial Build (v1): Synthetic Data</w:t>
      </w:r>
    </w:p>
    <w:p>
      <w:pPr>
        <w:spacing w:after="160" w:line="300"/>
      </w:pPr>
      <w:r>
        <w:rPr>
          <w:rFonts w:ascii="Calibri" w:cs="Calibri" w:eastAsia="Calibri" w:hAnsi="Calibri"/>
          <w:b w:val="false"/>
          <w:bCs w:val="false"/>
          <w:i w:val="false"/>
          <w:iCs w:val="false"/>
          <w:color w:val="1F2430"/>
          <w:sz w:val="22"/>
          <w:szCs w:val="22"/>
        </w:rPr>
        <w:t xml:space="preserve">The first working version was built quickly to get a complete, functioning pipeline end-to-end: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synthetic dataset generator (src/data_generator.py) created ~6,000 student records using a documented rule: a weighted combination of academic merit, financial need, extracurricular engagement, attendance, and priority bonuses (disability, first-generation status, larger households), plus random noise to avoid a perfectly sharp decision boundary.</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Random Forest classifier was trained via a scikit-learn Pipeline and saved with joblib.</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Flask + Bootstrap 5 web application was built with a prediction form, a results page, and an About page describing the model.</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This is why the dataset was synthetic at first: no free, no-login dataset of individual applicant-level scholarship eligibility exists publicly — only lists of scholarship programs, or datasets that require a Kaggle account.</w:t>
      </w:r>
    </w:p>
    <w:p>
      <w:pPr>
        <w:spacing w:after="160" w:line="300"/>
      </w:pPr>
      <w:r>
        <w:rPr>
          <w:rFonts w:ascii="Calibri" w:cs="Calibri" w:eastAsia="Calibri" w:hAnsi="Calibri"/>
          <w:b w:val="false"/>
          <w:bCs w:val="false"/>
          <w:i w:val="false"/>
          <w:iCs w:val="false"/>
          <w:color w:val="1F2430"/>
          <w:sz w:val="22"/>
          <w:szCs w:val="22"/>
        </w:rPr>
        <w:t xml:space="preserve">Shipped as Pull Request #1, which was reviewed, tested, and squash-merged into main.</w:t>
      </w:r>
    </w:p>
    <w:p>
      <w:pPr>
        <w:pStyle w:val="Heading2"/>
        <w:spacing w:after="140" w:before="300"/>
      </w:pPr>
      <w:r>
        <w:t xml:space="preserve">Phase 3 — Free Deployment on Render + a Real Deploy Bug</w:t>
      </w:r>
    </w:p>
    <w:p>
      <w:pPr>
        <w:spacing w:after="160" w:line="300"/>
      </w:pPr>
      <w:r>
        <w:rPr>
          <w:rFonts w:ascii="Calibri" w:cs="Calibri" w:eastAsia="Calibri" w:hAnsi="Calibri"/>
          <w:b w:val="false"/>
          <w:bCs w:val="false"/>
          <w:i w:val="false"/>
          <w:iCs w:val="false"/>
          <w:color w:val="1F2430"/>
          <w:sz w:val="22"/>
          <w:szCs w:val="22"/>
        </w:rPr>
        <w:t xml:space="preserve">The user asked how to publish the app so it could actually be seen and used online, with a hard requirement that it stay free. Render.com's free tier was selected (no credit card required). To support this: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Added a Procfile (web: gunicorn app:app) so the app runs behind a production WSGI server instead of Flask's development server.</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Added render.yaml as a Blueprint definition and requirements.txt gained gunicorn.</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step-by-step walkthrough of the Render dashboard flow (New Web Service → connect repo → configure build/start commands → deploy) was provided.</w:t>
      </w:r>
    </w:p>
    <w:p>
      <w:pPr>
        <w:spacing w:after="160" w:line="300"/>
      </w:pPr>
      <w:r>
        <w:rPr>
          <w:rFonts w:ascii="Calibri" w:cs="Calibri" w:eastAsia="Calibri" w:hAnsi="Calibri"/>
          <w:b w:val="false"/>
          <w:bCs w:val="false"/>
          <w:i w:val="false"/>
          <w:iCs w:val="false"/>
          <w:color w:val="1F2430"/>
          <w:sz w:val="22"/>
          <w:szCs w:val="22"/>
        </w:rPr>
        <w:t xml:space="preserve">The first deploy attempt failed. The build log showed Render selecting Python 3.14 (a version with no prebuilt pandas wheel yet), causing pip to attempt compiling pandas from source, which failed. Root cause: Render does not read Heroku-style runtime.txt files for Python version pinning — it needs a .python-version file (or a PYTHON_VERSION environment variable). The fix (Pull Request #2) replaced runtime.txt with .python-version (pinning Python 3.11.9) and also declared PYTHON_VERSION explicitly in render.yaml as a fallback for services created outside the Blueprint flow. The user was also walked through manually adding that environment variable to their already-created Render service.</w:t>
      </w:r>
    </w:p>
    <w:p>
      <w:pPr>
        <w:pStyle w:val="Heading2"/>
        <w:spacing w:after="140" w:before="300"/>
      </w:pPr>
      <w:r>
        <w:t xml:space="preserve">Phase 4 — Rejecting Synthetic Data, Migrating to Real Data</w:t>
      </w:r>
    </w:p>
    <w:p>
      <w:pPr>
        <w:spacing w:after="160" w:line="300"/>
      </w:pPr>
      <w:r>
        <w:rPr>
          <w:rFonts w:ascii="Calibri" w:cs="Calibri" w:eastAsia="Calibri" w:hAnsi="Calibri"/>
          <w:b w:val="false"/>
          <w:bCs w:val="false"/>
          <w:i w:val="false"/>
          <w:iCs w:val="false"/>
          <w:color w:val="1F2430"/>
          <w:sz w:val="22"/>
          <w:szCs w:val="22"/>
        </w:rPr>
        <w:t xml:space="preserve">The user explicitly rejected the synthetic dataset: “i dont wanted a fake or generated one”, and asked for a real, easily accessible dataset to be found online. This triggered a full data-pipeline rebuild: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web search located and verified (via live HTTP checks against no-login mirror URLs) two real, publicly available, license-clear datasets — see Section 4 for full detail.</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The user was shown a preview of both datasets' real columns and sample rows and chose to use both: the UCI Student Performance dataset as the primary training data, and the Graduate Admission Prediction dataset as supplementary real-world reference context (not merged into training, since it is a different population).</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new script, src/prepare_dataset.py, was written to build the training set directly from the real, unmodified source CSVs (committed under data/raw/), and to compute the eligibility label with a fully documented, deterministic merit + need formula — explicitly not random, and explicitly disclosed as a derived label rather than a true historical committee decision, because no public dataset records real students' actual scholarship outcomes (that information is sensitive and private).</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The Random Forest was retrained on the new real-data schema, the web form and result page were updated to match the new fields, and the About page was rewritten to disclose the full methodology, both dataset citations/links, feature-exclusion rationale, and limitations.</w:t>
      </w:r>
    </w:p>
    <w:p>
      <w:pPr>
        <w:spacing w:after="160" w:line="300"/>
      </w:pPr>
      <w:r>
        <w:rPr>
          <w:rFonts w:ascii="Calibri" w:cs="Calibri" w:eastAsia="Calibri" w:hAnsi="Calibri"/>
          <w:b w:val="false"/>
          <w:bCs w:val="false"/>
          <w:i w:val="false"/>
          <w:iCs w:val="false"/>
          <w:color w:val="1F2430"/>
          <w:sz w:val="22"/>
          <w:szCs w:val="22"/>
        </w:rPr>
        <w:t xml:space="preserve">Shipped as Pull Request #3.</w:t>
      </w:r>
    </w:p>
    <w:p>
      <w:pPr>
        <w:pStyle w:val="Heading2"/>
        <w:spacing w:after="140" w:before="300"/>
      </w:pPr>
      <w:r>
        <w:t xml:space="preserve">Phase 5 — Homepage Redesign via Claude Design</w:t>
      </w:r>
    </w:p>
    <w:p>
      <w:pPr>
        <w:spacing w:after="160" w:line="300"/>
      </w:pPr>
      <w:r>
        <w:rPr>
          <w:rFonts w:ascii="Calibri" w:cs="Calibri" w:eastAsia="Calibri" w:hAnsi="Calibri"/>
          <w:b w:val="false"/>
          <w:bCs w:val="false"/>
          <w:i w:val="false"/>
          <w:iCs w:val="false"/>
          <w:color w:val="1F2430"/>
          <w:sz w:val="22"/>
          <w:szCs w:val="22"/>
        </w:rPr>
        <w:t xml:space="preserve">The user found the homepage too basic and asked for a professional, lively redesign, specifically requesting the use of Claude Design synced into the codebase. The process: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homepage mockup was drafted first as a Claude Design canvas (a separate visual-design step, published as its own Artifact) rather than editing code directly — establishing direction, color palette, and typography before touching the Flask templates.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Design canvas: </w:t>
      </w:r>
      <w:hyperlink w:history="1" r:id="rIdyhtpu8cj_mcgkc8jghwi6">
        <w:r>
          <w:rPr>
            <w:rFonts w:ascii="Calibri" w:cs="Calibri" w:eastAsia="Calibri" w:hAnsi="Calibri"/>
            <w:color w:val="1155CC"/>
            <w:sz w:val="22"/>
            <w:szCs w:val="22"/>
            <w:u w:val="single"/>
          </w:rPr>
          <w:t xml:space="preserve">view the published mockup</w:t>
        </w:r>
      </w:hyperlink>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The chosen direction: an editorial, education/opportunity-themed identity (not generic corporate blue) — a hero section, a trust-stat row, and the application form restyled as three numbered step-cards.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That design was then hand-ported into the real Flask/Jinja templates and a rewritten static/css/style.css, keeping every existing form field name and backend behavior unchanged — this is the “sync with Claude Code” step: translating an approved visual design into working, deployed code.</w:t>
      </w:r>
    </w:p>
    <w:p>
      <w:pPr>
        <w:spacing w:after="160" w:line="300"/>
      </w:pPr>
      <w:r>
        <w:rPr>
          <w:rFonts w:ascii="Calibri" w:cs="Calibri" w:eastAsia="Calibri" w:hAnsi="Calibri"/>
          <w:b w:val="false"/>
          <w:bCs w:val="false"/>
          <w:i w:val="false"/>
          <w:iCs w:val="false"/>
          <w:color w:val="1F2430"/>
          <w:sz w:val="22"/>
          <w:szCs w:val="22"/>
        </w:rPr>
        <w:t xml:space="preserve">While opening the pull request, GitHub reported a merge conflict. This was a false conflict caused by git history divergence from earlier squash-merges (the local branch still carried its own pre-squash commit history, which no longer matched main's condensed history) rather than any real content disagreement. It was resolved by resetting the branch onto the latest main and cherry-picking just the redesign commit, which applied cleanly with zero real conflicts. Shipped as Pull Request #4. This same false-conflict pattern recurred on every later pull request in this project and was resolved the same way each time — reset the branch onto the latest main, cherry-pick just the new commit, force-push.</w:t>
      </w:r>
    </w:p>
    <w:p>
      <w:pPr>
        <w:pStyle w:val="Heading2"/>
        <w:spacing w:after="140" w:before="300"/>
      </w:pPr>
      <w:r>
        <w:t xml:space="preserve">Phase 6 — Full Project Documentation</w:t>
      </w:r>
    </w:p>
    <w:p>
      <w:pPr>
        <w:spacing w:after="160" w:line="300"/>
      </w:pPr>
      <w:r>
        <w:rPr>
          <w:rFonts w:ascii="Calibri" w:cs="Calibri" w:eastAsia="Calibri" w:hAnsi="Calibri"/>
          <w:b w:val="false"/>
          <w:bCs w:val="false"/>
          <w:i w:val="false"/>
          <w:iCs w:val="false"/>
          <w:color w:val="1F2430"/>
          <w:sz w:val="22"/>
          <w:szCs w:val="22"/>
        </w:rPr>
        <w:t xml:space="preserve">The user asked for a single document capturing “100 percent everything about this project” — the full build, the tools used, and the development process — to use as source material for their own external documentation and presentation. This report (the document you are reading) was produced from that request: a Node.js script using the docx library assembled a structured Word document covering project overview, this timeline, the tech stack, dataset sourcing, the modeling methodology, and more, which was schema-validated against the official OOXML XSD before delivery. Shipped as Pull Request #5.</w:t>
      </w:r>
    </w:p>
    <w:p>
      <w:pPr>
        <w:pStyle w:val="Heading2"/>
        <w:spacing w:after="140" w:before="300"/>
      </w:pPr>
      <w:r>
        <w:t xml:space="preserve">Phase 7 — Live Scholarship Opportunities Page</w:t>
      </w:r>
    </w:p>
    <w:p>
      <w:pPr>
        <w:spacing w:after="160" w:line="300"/>
      </w:pPr>
      <w:r>
        <w:rPr>
          <w:rFonts w:ascii="Calibri" w:cs="Calibri" w:eastAsia="Calibri" w:hAnsi="Calibri"/>
          <w:b w:val="false"/>
          <w:bCs w:val="false"/>
          <w:i w:val="false"/>
          <w:iCs w:val="false"/>
          <w:color w:val="1F2430"/>
          <w:sz w:val="22"/>
          <w:szCs w:val="22"/>
        </w:rPr>
        <w:t xml:space="preserve">The user asked for a second page showing the latest real scholarship opportunities from around the world, filterable, with links to apply — essentially a small web scraper feature bolted onto the existing site. This was built as: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src/scholarship_scraper.py — fetches public RSS feeds (never raw HTML) from a small, editable list of global scholarship-news sites, normalizes each entry, and extracts best-effort study-level, region, “fully funded”, and deadline tags from the title/summary text via keyword and regex matching.</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 new /opportunities Flask route and template with a filter form (search text, study level, region, fully-funded-only) applied server-side via query parameters, so filtered views are linkable.</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Results are cached to data/opportunities_cache.json for 12 hours so the page stays fast and doesn't repeatedly hit the source sites, with a manual “Refresh now” option and a graceful fallback to the last good cache (or a friendly message) if a fetch fails, instead of crashing.</w:t>
      </w:r>
    </w:p>
    <w:p>
      <w:pPr>
        <w:spacing w:after="160" w:line="300"/>
      </w:pPr>
      <w:r>
        <w:rPr>
          <w:rFonts w:ascii="Calibri" w:cs="Calibri" w:eastAsia="Calibri" w:hAnsi="Calibri"/>
          <w:b w:val="false"/>
          <w:bCs w:val="false"/>
          <w:i w:val="false"/>
          <w:iCs w:val="false"/>
          <w:color w:val="1F2430"/>
          <w:sz w:val="22"/>
          <w:szCs w:val="22"/>
        </w:rPr>
        <w:t xml:space="preserve">A key constraint surfaced immediately: this development sandbox's own network policy blocks outbound requests to arbitrary external sites, so the scraper's live network calls could not be tested directly from within the coding session. The parsing, filtering, caching, and rendering pipeline was instead verified end-to-end against a local mock RSS feed on loopback (which is not subject to that restriction), and the network-failure path was confirmed to degrade gracefully rather than crash. Shipped as Pull Request #6, with the explicit caveat to the user that live scraping against the real sites could only be confirmed after deploying to Render, which has normal internet access.</w:t>
      </w:r>
    </w:p>
    <w:p>
      <w:pPr>
        <w:pStyle w:val="Heading2"/>
        <w:spacing w:after="140" w:before="300"/>
      </w:pPr>
      <w:r>
        <w:t xml:space="preserve">Phase 8 — Debugging the Live Scraper from Render Logs</w:t>
      </w:r>
    </w:p>
    <w:p>
      <w:pPr>
        <w:spacing w:after="160" w:line="300"/>
      </w:pPr>
      <w:r>
        <w:rPr>
          <w:rFonts w:ascii="Calibri" w:cs="Calibri" w:eastAsia="Calibri" w:hAnsi="Calibri"/>
          <w:b w:val="false"/>
          <w:bCs w:val="false"/>
          <w:i w:val="false"/>
          <w:iCs w:val="false"/>
          <w:color w:val="1F2430"/>
          <w:sz w:val="22"/>
          <w:szCs w:val="22"/>
        </w:rPr>
        <w:t xml:space="preserve">After deploying Pull Request #6, the user reported the Opportunities page came back empty. Because the sandbox couldn't reach the real sites itself, this was debugged entirely from Render's own production logs, pasted back by the user across two rounds: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Round 1 diagnosis: the logs showed one source (OpportunityDesk) explicitly skipped because its robots.txt disallows the /feed/ path, and a second source (Scholars4Dev) failing with no reason logged at all. Pull Request #7 replaced the dead source with two new candidates and added detailed diagnostic logging (HTTP status, content-type, redirects, feed-parser malformed-feed warnings, and raw-vs-usable entry counts) so the next round of logs would be conclusive, and switched to a realistic browser User-Agent string.</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Round 2 diagnosis: the improved logs showed two of the three sources being skipped as “disallowed by robots.txt”, and the third (Scholars4Dev) still parsing successfully with zero entries and no error. This exposed a design mistake: robots.txt governs how search-engine crawlers index a site's pages, and by long-standing internet convention does not govern RSS feed consumption — no mainstream feed reader (Feedly, Inoreader, podcast apps, etc.) checks robots.txt before fetching a feed a site itself publishes for syndication; a generic “Disallow: /feed/” is standard SEO boilerplate aimed at stopping search engines from indexing feed pages as duplicate content, not a signal aimed at feed readers. Pull Request #8 removed that gate entirely, restored the source it had wrongly excluded, and added a raw-response-body diagnostic for the still-unexplained empty-feed case.</w:t>
      </w:r>
    </w:p>
    <w:p>
      <w:pPr>
        <w:spacing w:after="160" w:line="300"/>
      </w:pPr>
      <w:r>
        <w:rPr>
          <w:rFonts w:ascii="Calibri" w:cs="Calibri" w:eastAsia="Calibri" w:hAnsi="Calibri"/>
          <w:b w:val="false"/>
          <w:bCs w:val="false"/>
          <w:i w:val="false"/>
          <w:iCs w:val="false"/>
          <w:color w:val="1F2430"/>
          <w:sz w:val="22"/>
          <w:szCs w:val="22"/>
        </w:rPr>
        <w:t xml:space="preserve">As of this document, Pull Request #8 has been merged and deployed; confirming real listings appear in production was the next step handed back to the user.</w:t>
      </w:r>
    </w:p>
    <w:p>
      <w:pPr>
        <w:pStyle w:val="Heading1"/>
        <w:pBdr>
          <w:bottom w:val="single" w:color="3730A3" w:sz="8" w:space="6"/>
        </w:pBdr>
        <w:spacing w:after="200" w:before="420"/>
      </w:pPr>
      <w:r>
        <w:t xml:space="preserve">3. Tools &amp; Technology Stack</w:t>
      </w:r>
    </w:p>
    <w:p>
      <w:pPr>
        <w:spacing w:after="160" w:line="300"/>
      </w:pPr>
      <w:r>
        <w:rPr>
          <w:rFonts w:ascii="Calibri" w:cs="Calibri" w:eastAsia="Calibri" w:hAnsi="Calibri"/>
          <w:b w:val="false"/>
          <w:bCs w:val="false"/>
          <w:i w:val="false"/>
          <w:iCs w:val="false"/>
          <w:color w:val="1F2430"/>
          <w:sz w:val="22"/>
          <w:szCs w:val="22"/>
        </w:rPr>
        <w:t xml:space="preserve">Every component of this project is free and open-source. The full stack:</w:t>
      </w:r>
    </w:p>
    <w:tbl>
      <w:tblPr>
        <w:tblW w:type="dxa" w:w="9300"/>
        <w:tblBorders>
          <w:top w:val="single" w:color="D8DAE3" w:sz="4"/>
          <w:left w:val="single" w:color="D8DAE3" w:sz="4"/>
          <w:bottom w:val="single" w:color="D8DAE3" w:sz="4"/>
          <w:right w:val="single" w:color="D8DAE3" w:sz="4"/>
          <w:insideH w:val="single" w:color="D8DAE3" w:sz="4"/>
          <w:insideV w:val="single" w:color="D8DAE3" w:sz="4"/>
        </w:tblBorders>
      </w:tblPr>
      <w:tblGrid>
        <w:gridCol w:w="3200"/>
        <w:gridCol w:w="6100"/>
      </w:tblGrid>
      <w:tr>
        <w:tc>
          <w:tcPr>
            <w:tcW w:type="dxa" w:w="32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Category</w:t>
            </w:r>
          </w:p>
        </w:tc>
        <w:tc>
          <w:tcPr>
            <w:tcW w:type="dxa" w:w="61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Tool / Library</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Backend runtime</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Python 3.11 (pinned via .python-version)</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Web framework</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Flask 3.0.3</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Production server</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Gunicorn 22.0.0 (WSGI, used for the Render deployment)</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ML framework</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scikit-learn 1.5.1 — RandomForestClassifier, Pipeline, ColumnTransformer, StandardScaler, OneHotEncoder, train_test_split, cross_val_score</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Data handling</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pandas 2.2.2, numpy 1.26.4</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Model persistence</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joblib 1.4.2</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Charting</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matplotlib 3.9.0 (feature-importance chart, reference chart)</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Templating</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Jinja2 (Flask's built-in template engine)</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CSS framework</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Bootstrap 5.3.3 (CDN)</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Iconography</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Bootstrap Icons 1.11.3 (CDN)</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Typography</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Google Fonts — Newsreader (serif display) + Manrope (sans body)</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HTTP client</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requests 2.33.1 — fetches RSS feeds for the Opportunities page</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Feed parsing</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feedparser 6.0.14 — parses RSS/Atom feeds into normalized entries</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Hosting</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Render.com free tier</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Version control</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Git + GitHub (Tobinioluwa/ML-Scholarship-Eligibility-Predictor)</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Collaboration workflow</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GitHub Pull Requests — 8 PRs, all squash-merged into main</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AI coding assistant</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Claude Code — wrote the codebase, ran and tested commands locally, generated the dataset &amp; trained the model, committed/pushed, opened &amp; merged the pull requests, and diagnosed live production bugs from Render logs</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AI design tool</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Claude Design — used to draft the homepage mockup as a design canvas before implementation</w:t>
            </w:r>
          </w:p>
        </w:tc>
      </w:tr>
      <w:tr>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Underlying model</w:t>
            </w:r>
          </w:p>
        </w:tc>
        <w:tc>
          <w:tcPr>
            <w:tcW w:type="dxa" w:w="6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Claude Sonnet 5, running inside Claude Code, produced the entire codebase, the homepage design, and this document</w:t>
            </w:r>
          </w:p>
        </w:tc>
      </w:tr>
      <w:tr>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Research tooling</w:t>
            </w:r>
          </w:p>
        </w:tc>
        <w:tc>
          <w:tcPr>
            <w:tcW w:type="dxa" w:w="6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Web search, used to locate and verify (via live HTTP checks) real, license-clear, no-login datasets and RSS feed sources</w:t>
            </w:r>
          </w:p>
        </w:tc>
      </w:tr>
    </w:tbl>
    <w:p>
      <w:pPr>
        <w:pStyle w:val="Heading1"/>
        <w:pBdr>
          <w:bottom w:val="single" w:color="3730A3" w:sz="8" w:space="6"/>
        </w:pBdr>
        <w:spacing w:after="200" w:before="420"/>
      </w:pPr>
      <w:r>
        <w:t xml:space="preserve">4. Data Sources</w:t>
      </w:r>
    </w:p>
    <w:p>
      <w:pPr>
        <w:spacing w:after="160" w:line="300"/>
      </w:pPr>
      <w:r>
        <w:rPr>
          <w:rFonts w:ascii="Calibri" w:cs="Calibri" w:eastAsia="Calibri" w:hAnsi="Calibri"/>
          <w:b w:val="false"/>
          <w:bCs w:val="false"/>
          <w:i w:val="false"/>
          <w:iCs w:val="false"/>
          <w:color w:val="1F2430"/>
          <w:sz w:val="22"/>
          <w:szCs w:val="22"/>
        </w:rPr>
        <w:t xml:space="preserve">This project trains on real, publicly available student data — not synthetic or fabricated rows. Two datasets are used, with different roles.</w:t>
      </w:r>
    </w:p>
    <w:p>
      <w:pPr>
        <w:pStyle w:val="Heading2"/>
        <w:spacing w:after="140" w:before="300"/>
      </w:pPr>
      <w:r>
        <w:t xml:space="preserve">4.1 UCI Student Performance Dataset (primary training data)</w:t>
      </w:r>
    </w:p>
    <w:tbl>
      <w:tblPr>
        <w:tblW w:type="dxa" w:w="9300"/>
        <w:tblBorders>
          <w:top w:val="single" w:color="D8DAE3" w:sz="4"/>
          <w:left w:val="single" w:color="D8DAE3" w:sz="4"/>
          <w:bottom w:val="single" w:color="D8DAE3" w:sz="4"/>
          <w:right w:val="single" w:color="D8DAE3" w:sz="4"/>
          <w:insideH w:val="single" w:color="D8DAE3" w:sz="4"/>
          <w:insideV w:val="single" w:color="D8DAE3" w:sz="4"/>
        </w:tblBorders>
      </w:tblPr>
      <w:tblGrid>
        <w:gridCol w:w="2600"/>
        <w:gridCol w:w="6700"/>
      </w:tblGrid>
      <w:tr>
        <w:tc>
          <w:tcPr>
            <w:tcW w:type="dxa" w:w="26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Field</w:t>
            </w:r>
          </w:p>
        </w:tc>
        <w:tc>
          <w:tcPr>
            <w:tcW w:type="dxa" w:w="67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Detail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Role</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Primary training data for the deployed model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Size</w:t>
            </w:r>
          </w:p>
        </w:tc>
        <w:tc>
          <w:tcPr>
            <w:tcW w:type="dxa" w:w="6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395 real students from two Portuguese secondary schools (Math course)</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Citation</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 Cortez and A. Silva, “Using Data Mining to Predict Secondary School Student Performance,” Proceedings of 5th FUBUTEC 2008, pp. 5–12, Porto, Portugal, EUROSIS</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License</w:t>
            </w:r>
          </w:p>
        </w:tc>
        <w:tc>
          <w:tcPr>
            <w:tcW w:type="dxa" w:w="6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CC BY 4.0 (per the UCI repository listing)</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Repository page</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archive.ics.uci.edu/dataset/320/student+performance</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Direct CSV (no login)</w:t>
            </w:r>
          </w:p>
        </w:tc>
        <w:tc>
          <w:tcPr>
            <w:tcW w:type="dxa" w:w="6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raw.githubusercontent.com/guipsamora/pandas_exercises/.../student-mat.csv</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Stored in repo at</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data/raw/student-mat.csv (unmodified)</w:t>
            </w:r>
          </w:p>
        </w:tc>
      </w:tr>
    </w:tbl>
    <w:p>
      <w:pPr>
        <w:pStyle w:val="Heading2"/>
        <w:spacing w:after="140" w:before="300"/>
      </w:pPr>
      <w:r>
        <w:t xml:space="preserve">4.2 Graduate Admission Prediction Dataset (supplementary reference only)</w:t>
      </w:r>
    </w:p>
    <w:tbl>
      <w:tblPr>
        <w:tblW w:type="dxa" w:w="9300"/>
        <w:tblBorders>
          <w:top w:val="single" w:color="D8DAE3" w:sz="4"/>
          <w:left w:val="single" w:color="D8DAE3" w:sz="4"/>
          <w:bottom w:val="single" w:color="D8DAE3" w:sz="4"/>
          <w:right w:val="single" w:color="D8DAE3" w:sz="4"/>
          <w:insideH w:val="single" w:color="D8DAE3" w:sz="4"/>
          <w:insideV w:val="single" w:color="D8DAE3" w:sz="4"/>
        </w:tblBorders>
      </w:tblPr>
      <w:tblGrid>
        <w:gridCol w:w="2600"/>
        <w:gridCol w:w="6700"/>
      </w:tblGrid>
      <w:tr>
        <w:tc>
          <w:tcPr>
            <w:tcW w:type="dxa" w:w="26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Field</w:t>
            </w:r>
          </w:p>
        </w:tc>
        <w:tc>
          <w:tcPr>
            <w:tcW w:type="dxa" w:w="67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Detail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Role</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Supplementary real-world reference chart only — NOT merged into training data (different population: international grad-school applicants vs. Portuguese secondary students)</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Size</w:t>
            </w:r>
          </w:p>
        </w:tc>
        <w:tc>
          <w:tcPr>
            <w:tcW w:type="dxa" w:w="6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400 real, anonymized graduate-school applicant records</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Citation</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Mohan S Acharya, Asfia Armaan, Aneeta S Antony, “A Comparison of Regression Models for Prediction of Graduate Admissions,” IEEE Intl. Conf. on Computational Intelligence in Data Science, 2019</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Source</w:t>
            </w:r>
          </w:p>
        </w:tc>
        <w:tc>
          <w:tcPr>
            <w:tcW w:type="dxa" w:w="6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Kaggle — kaggle.com/datasets/mohansacharya/graduate-admissions</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Direct CSV (no login)</w:t>
            </w:r>
          </w:p>
        </w:tc>
        <w:tc>
          <w:tcPr>
            <w:tcW w:type="dxa" w:w="6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raw.githubusercontent.com/divyansha1115/Graduate-Admission-Prediction/.../Admission_Predict.csv</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Stored in repo at</w:t>
            </w:r>
          </w:p>
        </w:tc>
        <w:tc>
          <w:tcPr>
            <w:tcW w:type="dxa" w:w="6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data/raw/admission_predict.csv (unmodified)</w:t>
            </w:r>
          </w:p>
        </w:tc>
      </w:tr>
    </w:tbl>
    <w:p>
      <w:pPr>
        <w:pStyle w:val="Heading2"/>
        <w:spacing w:after="140" w:before="300"/>
      </w:pPr>
      <w:r>
        <w:t xml:space="preserve">4.3 Why the Eligibility Label Had to Be Derived</w:t>
      </w:r>
    </w:p>
    <w:p>
      <w:pPr>
        <w:spacing w:after="160" w:line="300"/>
      </w:pPr>
      <w:r>
        <w:rPr>
          <w:rFonts w:ascii="Calibri" w:cs="Calibri" w:eastAsia="Calibri" w:hAnsi="Calibri"/>
          <w:b w:val="false"/>
          <w:bCs w:val="false"/>
          <w:i w:val="false"/>
          <w:iCs w:val="false"/>
          <w:color w:val="1F2430"/>
          <w:sz w:val="22"/>
          <w:szCs w:val="22"/>
        </w:rPr>
        <w:t xml:space="preserve">No public dataset records real students' actual scholarship-committee decisions. That information is sensitive personal and financial data tied to real people, so it is never released openly — the only public “scholarship datasets” found were lists of scholarship programs, not individual applicant outcomes. This was confirmed by web search and by directly checking multiple candidate sources.</w:t>
      </w:r>
    </w:p>
    <w:p>
      <w:pPr>
        <w:spacing w:after="160" w:line="300"/>
      </w:pPr>
      <w:r>
        <w:rPr>
          <w:rFonts w:ascii="Calibri" w:cs="Calibri" w:eastAsia="Calibri" w:hAnsi="Calibri"/>
          <w:b w:val="false"/>
          <w:bCs w:val="false"/>
          <w:i w:val="false"/>
          <w:iCs w:val="false"/>
          <w:color w:val="1F2430"/>
          <w:sz w:val="22"/>
          <w:szCs w:val="22"/>
        </w:rPr>
        <w:t xml:space="preserve">As a result, every row of training data is a real student, but the eligible label is computed with a transparent, deterministic formula (Section 5) rather than an actual historical decision. This is disclosed explicitly on the application's own About page, in the README, and in this document, so no one mistakes the model's output for validated real-world policy.</w:t>
      </w:r>
    </w:p>
    <w:p>
      <w:pPr>
        <w:pStyle w:val="Heading1"/>
        <w:pBdr>
          <w:bottom w:val="single" w:color="3730A3" w:sz="8" w:space="6"/>
        </w:pBdr>
        <w:spacing w:after="200" w:before="420"/>
      </w:pPr>
      <w:r>
        <w:t xml:space="preserve">5. Feature Set &amp; Label Derivation Methodology</w:t>
      </w:r>
    </w:p>
    <w:p>
      <w:pPr>
        <w:pStyle w:val="Heading2"/>
        <w:spacing w:after="140" w:before="300"/>
      </w:pPr>
      <w:r>
        <w:t xml:space="preserve">5.1 Final Feature Set (17 features)</w:t>
      </w:r>
    </w:p>
    <w:p>
      <w:pPr>
        <w:spacing w:after="160" w:line="300"/>
      </w:pPr>
      <w:r>
        <w:rPr>
          <w:rFonts w:ascii="Calibri" w:cs="Calibri" w:eastAsia="Calibri" w:hAnsi="Calibri"/>
          <w:b w:val="false"/>
          <w:bCs w:val="false"/>
          <w:i w:val="false"/>
          <w:iCs w:val="false"/>
          <w:color w:val="1F2430"/>
          <w:sz w:val="22"/>
          <w:szCs w:val="22"/>
        </w:rPr>
        <w:t xml:space="preserve">These are the exact fields collected by the web form and consumed by the trained model:</w:t>
      </w:r>
    </w:p>
    <w:tbl>
      <w:tblPr>
        <w:tblW w:type="dxa" w:w="9300"/>
        <w:tblBorders>
          <w:top w:val="single" w:color="D8DAE3" w:sz="4"/>
          <w:left w:val="single" w:color="D8DAE3" w:sz="4"/>
          <w:bottom w:val="single" w:color="D8DAE3" w:sz="4"/>
          <w:right w:val="single" w:color="D8DAE3" w:sz="4"/>
          <w:insideH w:val="single" w:color="D8DAE3" w:sz="4"/>
          <w:insideV w:val="single" w:color="D8DAE3" w:sz="4"/>
        </w:tblBorders>
      </w:tblPr>
      <w:tblGrid>
        <w:gridCol w:w="2600"/>
        <w:gridCol w:w="5100"/>
        <w:gridCol w:w="1600"/>
      </w:tblGrid>
      <w:tr>
        <w:tc>
          <w:tcPr>
            <w:tcW w:type="dxa" w:w="26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Feature</w:t>
            </w:r>
          </w:p>
        </w:tc>
        <w:tc>
          <w:tcPr>
            <w:tcW w:type="dxa" w:w="51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Description</w:t>
            </w:r>
          </w:p>
        </w:tc>
        <w:tc>
          <w:tcPr>
            <w:tcW w:type="dxa" w:w="16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Type</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age</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Student age</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gender</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Male / Female</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region</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Urban / Rural</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household_size</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“3 or fewer” / “More than 3” people</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mother_education</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0 (none) – 4 (higher education)</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 (ordinal)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father_education</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0 (none) – 4 (higher education)</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 (ordinal)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weekly_study_time</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1 (&lt;2h) – 4 (&gt;10h)</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 (ordinal)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past_failures</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Count of past class failures</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school_support</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Receives extra school support — Yes/No</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family_support</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Receives family educational support — Yes/No</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paid_tutoring</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Receives paid extra tutoring — Yes/No</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internet_access</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Internet access at home — Yes/No</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extracurricular_activities</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Participates in extracurriculars — Yes/No</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Categorical</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absences</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Number of school absences</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prior_grade_1</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First-period grade, 0–20 scale</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prior_grade_2</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Second-period grade, 0–20 scale</w:t>
            </w:r>
          </w:p>
        </w:tc>
        <w:tc>
          <w:tcPr>
            <w:tcW w:type="dxa" w:w="1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current_grade</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Most recent (third-period) grade, 0–20 scale</w:t>
            </w:r>
          </w:p>
        </w:tc>
        <w:tc>
          <w:tcPr>
            <w:tcW w:type="dxa" w:w="1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Numeric</w:t>
            </w:r>
          </w:p>
        </w:tc>
      </w:tr>
    </w:tbl>
    <w:p>
      <w:pPr>
        <w:pStyle w:val="Heading2"/>
        <w:spacing w:after="140" w:before="300"/>
      </w:pPr>
      <w:r>
        <w:t xml:space="preserve">5.2 Deliberately Excluded Columns</w:t>
      </w:r>
    </w:p>
    <w:p>
      <w:pPr>
        <w:spacing w:after="160" w:line="300"/>
      </w:pPr>
      <w:r>
        <w:rPr>
          <w:rFonts w:ascii="Calibri" w:cs="Calibri" w:eastAsia="Calibri" w:hAnsi="Calibri"/>
          <w:b w:val="false"/>
          <w:bCs w:val="false"/>
          <w:i w:val="false"/>
          <w:iCs w:val="false"/>
          <w:color w:val="1F2430"/>
          <w:sz w:val="22"/>
          <w:szCs w:val="22"/>
        </w:rPr>
        <w:t xml:space="preserve">The raw UCI dataset includes additional real columns that were intentionally excluded from both the label formula and the model's inputs, even though they exist in the source data, because they are irrelevant or overly invasive for a scholarship-screening context:</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Alcohol consumption (workday and weekend) — not relevant to eligibility and inappropriate to screen on.</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Romantic relationship status — personal, not relevant.</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Going-out frequency, free time — not a defensible eligibility signal.</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Specific school name (GP / MS) — not generalizable and could introduce institutional bias.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Guardian, travel time, reason for school choice — low relevance to eligibility.</w:t>
      </w:r>
    </w:p>
    <w:p>
      <w:pPr>
        <w:pStyle w:val="Heading2"/>
        <w:spacing w:after="140" w:before="300"/>
      </w:pPr>
      <w:r>
        <w:t xml:space="preserve">5.3 Deterministic Eligibility Formula</w:t>
      </w:r>
    </w:p>
    <w:p>
      <w:pPr>
        <w:spacing w:after="160" w:line="300"/>
      </w:pPr>
      <w:r>
        <w:rPr>
          <w:rFonts w:ascii="Calibri" w:cs="Calibri" w:eastAsia="Calibri" w:hAnsi="Calibri"/>
          <w:b w:val="false"/>
          <w:bCs w:val="false"/>
          <w:i w:val="false"/>
          <w:iCs w:val="false"/>
          <w:color w:val="1F2430"/>
          <w:sz w:val="22"/>
          <w:szCs w:val="22"/>
        </w:rPr>
        <w:t xml:space="preserve">Because no real “eligible” outcome exists in the source data (Section 4.3), the label is computed once per real student with this fully documented, non-random formula (implemented in src/prepare_dataset.py):</w:t>
      </w:r>
    </w:p>
    <w:p>
      <w:pPr>
        <w:pStyle w:val="Heading3"/>
        <w:spacing w:after="100" w:before="220"/>
      </w:pPr>
      <w:r>
        <w:t xml:space="preserve">Merit score — 55% weight</w:t>
      </w:r>
    </w:p>
    <w:p>
      <w:pPr>
        <w:pBdr>
          <w:top w:val="single" w:color="D8DAE3" w:sz="6"/>
          <w:bottom w:val="single" w:color="D8DAE3" w:sz="6"/>
        </w:pBdr>
        <w:shd w:fill="F2F2F6" w:val="clear"/>
        <w:spacing w:after="200" w:before="80"/>
        <w:ind w:left="180" w:right="180"/>
      </w:pPr>
      <w:r>
        <w:rPr>
          <w:rFonts w:ascii="Consolas" w:cs="Consolas" w:eastAsia="Consolas" w:hAnsi="Consolas"/>
          <w:color w:val="1F2430"/>
          <w:sz w:val="19"/>
          <w:szCs w:val="19"/>
        </w:rPr>
        <w:t xml:space="preserve">grade_avg   = 0.2×G1 + 0.3×G2 + 0.5×G3   (recent grades weighted more)</w:t>
      </w:r>
      <w:r>
        <w:br/>
        <w:t xml:space="preserve"/>
      </w:r>
      <w:r>
        <w:rPr>
          <w:rFonts w:ascii="Consolas" w:cs="Consolas" w:eastAsia="Consolas" w:hAnsi="Consolas"/>
          <w:color w:val="1F2430"/>
          <w:sz w:val="19"/>
          <w:szCs w:val="19"/>
        </w:rPr>
        <w:t xml:space="preserve">merit_score = normalize(grade_avg)</w:t>
      </w:r>
      <w:r>
        <w:br/>
        <w:t xml:space="preserve"/>
      </w:r>
      <w:r>
        <w:rPr>
          <w:rFonts w:ascii="Consolas" w:cs="Consolas" w:eastAsia="Consolas" w:hAnsi="Consolas"/>
          <w:color w:val="1F2430"/>
          <w:sz w:val="19"/>
          <w:szCs w:val="19"/>
        </w:rPr>
        <w:t xml:space="preserve">              − 0.05 × (past class failures)</w:t>
      </w:r>
      <w:r>
        <w:br/>
        <w:t xml:space="preserve"/>
      </w:r>
      <w:r>
        <w:rPr>
          <w:rFonts w:ascii="Consolas" w:cs="Consolas" w:eastAsia="Consolas" w:hAnsi="Consolas"/>
          <w:color w:val="1F2430"/>
          <w:sz w:val="19"/>
          <w:szCs w:val="19"/>
        </w:rPr>
        <w:t xml:space="preserve">              + 0.05 × normalize(weekly study time)</w:t>
      </w:r>
    </w:p>
    <w:p>
      <w:pPr>
        <w:pStyle w:val="Heading3"/>
        <w:spacing w:after="100" w:before="220"/>
      </w:pPr>
      <w:r>
        <w:t xml:space="preserve">Need score — 35% weight</w:t>
      </w:r>
    </w:p>
    <w:p>
      <w:pPr>
        <w:pBdr>
          <w:top w:val="single" w:color="D8DAE3" w:sz="6"/>
          <w:bottom w:val="single" w:color="D8DAE3" w:sz="6"/>
        </w:pBdr>
        <w:shd w:fill="F2F2F6" w:val="clear"/>
        <w:spacing w:after="200" w:before="80"/>
        <w:ind w:left="180" w:right="180"/>
      </w:pPr>
      <w:r>
        <w:rPr>
          <w:rFonts w:ascii="Consolas" w:cs="Consolas" w:eastAsia="Consolas" w:hAnsi="Consolas"/>
          <w:color w:val="1F2430"/>
          <w:sz w:val="19"/>
          <w:szCs w:val="19"/>
        </w:rPr>
        <w:t xml:space="preserve">need_score = 0.55 × (1 − normalize(avg parent education))</w:t>
      </w:r>
      <w:r>
        <w:br/>
        <w:t xml:space="preserve"/>
      </w:r>
      <w:r>
        <w:rPr>
          <w:rFonts w:ascii="Consolas" w:cs="Consolas" w:eastAsia="Consolas" w:hAnsi="Consolas"/>
          <w:color w:val="1F2430"/>
          <w:sz w:val="19"/>
          <w:szCs w:val="19"/>
        </w:rPr>
        <w:t xml:space="preserve">           + 0.15 × (no internet access)</w:t>
      </w:r>
      <w:r>
        <w:br/>
        <w:t xml:space="preserve"/>
      </w:r>
      <w:r>
        <w:rPr>
          <w:rFonts w:ascii="Consolas" w:cs="Consolas" w:eastAsia="Consolas" w:hAnsi="Consolas"/>
          <w:color w:val="1F2430"/>
          <w:sz w:val="19"/>
          <w:szCs w:val="19"/>
        </w:rPr>
        <w:t xml:space="preserve">           + 0.10 × (no paid tutoring)</w:t>
      </w:r>
      <w:r>
        <w:br/>
        <w:t xml:space="preserve"/>
      </w:r>
      <w:r>
        <w:rPr>
          <w:rFonts w:ascii="Consolas" w:cs="Consolas" w:eastAsia="Consolas" w:hAnsi="Consolas"/>
          <w:color w:val="1F2430"/>
          <w:sz w:val="19"/>
          <w:szCs w:val="19"/>
        </w:rPr>
        <w:t xml:space="preserve">           + 0.10 × (household size &gt; 3)</w:t>
      </w:r>
      <w:r>
        <w:br/>
        <w:t xml:space="preserve"/>
      </w:r>
      <w:r>
        <w:rPr>
          <w:rFonts w:ascii="Consolas" w:cs="Consolas" w:eastAsia="Consolas" w:hAnsi="Consolas"/>
          <w:color w:val="1F2430"/>
          <w:sz w:val="19"/>
          <w:szCs w:val="19"/>
        </w:rPr>
        <w:t xml:space="preserve">           + 0.10 × (no family educational support)</w:t>
      </w:r>
    </w:p>
    <w:p>
      <w:pPr>
        <w:pStyle w:val="Heading3"/>
        <w:spacing w:after="100" w:before="220"/>
      </w:pPr>
      <w:r>
        <w:t xml:space="preserve">Small bonuses — 10% weight, then threshold</w:t>
      </w:r>
    </w:p>
    <w:p>
      <w:pPr>
        <w:pBdr>
          <w:top w:val="single" w:color="D8DAE3" w:sz="6"/>
          <w:bottom w:val="single" w:color="D8DAE3" w:sz="6"/>
        </w:pBdr>
        <w:shd w:fill="F2F2F6" w:val="clear"/>
        <w:spacing w:after="200" w:before="80"/>
        <w:ind w:left="180" w:right="180"/>
      </w:pPr>
      <w:r>
        <w:rPr>
          <w:rFonts w:ascii="Consolas" w:cs="Consolas" w:eastAsia="Consolas" w:hAnsi="Consolas"/>
          <w:color w:val="1F2430"/>
          <w:sz w:val="19"/>
          <w:szCs w:val="19"/>
        </w:rPr>
        <w:t xml:space="preserve">final_score = 0.55 × merit_score + 0.35 × need_score</w:t>
      </w:r>
      <w:r>
        <w:br/>
        <w:t xml:space="preserve"/>
      </w:r>
      <w:r>
        <w:rPr>
          <w:rFonts w:ascii="Consolas" w:cs="Consolas" w:eastAsia="Consolas" w:hAnsi="Consolas"/>
          <w:color w:val="1F2430"/>
          <w:sz w:val="19"/>
          <w:szCs w:val="19"/>
        </w:rPr>
        <w:t xml:space="preserve">            + 0.05 × (has extracurricular activities)</w:t>
      </w:r>
      <w:r>
        <w:br/>
        <w:t xml:space="preserve"/>
      </w:r>
      <w:r>
        <w:rPr>
          <w:rFonts w:ascii="Consolas" w:cs="Consolas" w:eastAsia="Consolas" w:hAnsi="Consolas"/>
          <w:color w:val="1F2430"/>
          <w:sz w:val="19"/>
          <w:szCs w:val="19"/>
        </w:rPr>
        <w:t xml:space="preserve">            + 0.05 × (below-median absences)</w:t>
      </w:r>
      <w:r>
        <w:br/>
        <w:t xml:space="preserve"/>
      </w:r>
      <w:r>
        <w:rPr>
          <w:rFonts w:ascii="Consolas" w:cs="Consolas" w:eastAsia="Consolas" w:hAnsi="Consolas"/>
          <w:color w:val="1F2430"/>
          <w:sz w:val="19"/>
          <w:szCs w:val="19"/>
        </w:rPr>
        <w:t xml:space="preserve"/>
      </w:r>
      <w:r>
        <w:br/>
        <w:t xml:space="preserve"/>
      </w:r>
      <w:r>
        <w:rPr>
          <w:rFonts w:ascii="Consolas" w:cs="Consolas" w:eastAsia="Consolas" w:hAnsi="Consolas"/>
          <w:color w:val="1F2430"/>
          <w:sz w:val="19"/>
          <w:szCs w:val="19"/>
        </w:rPr>
        <w:t xml:space="preserve">eligible = 1  if final_score &gt;= 60th percentile across all students</w:t>
      </w:r>
      <w:r>
        <w:br/>
        <w:t xml:space="preserve"/>
      </w:r>
      <w:r>
        <w:rPr>
          <w:rFonts w:ascii="Consolas" w:cs="Consolas" w:eastAsia="Consolas" w:hAnsi="Consolas"/>
          <w:color w:val="1F2430"/>
          <w:sz w:val="19"/>
          <w:szCs w:val="19"/>
        </w:rPr>
        <w:t xml:space="preserve">eligible = 0  otherwise</w:t>
      </w:r>
      <w:r>
        <w:br/>
        <w:t xml:space="preserve"/>
      </w:r>
      <w:r>
        <w:rPr>
          <w:rFonts w:ascii="Consolas" w:cs="Consolas" w:eastAsia="Consolas" w:hAnsi="Consolas"/>
          <w:color w:val="1F2430"/>
          <w:sz w:val="19"/>
          <w:szCs w:val="19"/>
        </w:rPr>
        <w:t xml:space="preserve">(→ roughly the top 40% of students by combined score are labeled eligible)</w:t>
      </w:r>
    </w:p>
    <w:p>
      <w:pPr>
        <w:spacing w:after="160" w:line="300"/>
      </w:pPr>
      <w:r>
        <w:rPr>
          <w:rFonts w:ascii="Calibri" w:cs="Calibri" w:eastAsia="Calibri" w:hAnsi="Calibri"/>
          <w:b w:val="false"/>
          <w:bCs w:val="false"/>
          <w:i w:val="false"/>
          <w:iCs w:val="false"/>
          <w:color w:val="1F2430"/>
          <w:sz w:val="22"/>
          <w:szCs w:val="22"/>
        </w:rPr>
        <w:t xml:space="preserve">No random noise is added to this formula — unlike the earlier synthetic-data version, the underlying rows are real, so the label computation is kept fully deterministic and auditable.</w:t>
      </w:r>
    </w:p>
    <w:p>
      <w:pPr>
        <w:pStyle w:val="Heading1"/>
        <w:pBdr>
          <w:bottom w:val="single" w:color="3730A3" w:sz="8" w:space="6"/>
        </w:pBdr>
        <w:spacing w:after="200" w:before="420"/>
      </w:pPr>
      <w:r>
        <w:t xml:space="preserve">6. Model Architecture &amp; Performance</w:t>
      </w:r>
    </w:p>
    <w:p>
      <w:pPr>
        <w:pStyle w:val="Heading2"/>
        <w:spacing w:after="140" w:before="300"/>
      </w:pPr>
      <w:r>
        <w:t xml:space="preserve">6.1 Architecture</w:t>
      </w:r>
    </w:p>
    <w:p>
      <w:pPr>
        <w:spacing w:after="160" w:line="300"/>
      </w:pPr>
      <w:r>
        <w:rPr>
          <w:rFonts w:ascii="Calibri" w:cs="Calibri" w:eastAsia="Calibri" w:hAnsi="Calibri"/>
          <w:b w:val="false"/>
          <w:bCs w:val="false"/>
          <w:i w:val="false"/>
          <w:iCs w:val="false"/>
          <w:color w:val="1F2430"/>
          <w:sz w:val="22"/>
          <w:szCs w:val="22"/>
        </w:rPr>
        <w:t xml:space="preserve">The model is a single scikit-learn Pipeline combining preprocessing and classification, so the exact same transformations used in training are automatically applied to every new prediction:</w:t>
      </w:r>
    </w:p>
    <w:p>
      <w:pPr>
        <w:pBdr>
          <w:top w:val="single" w:color="D8DAE3" w:sz="6"/>
          <w:bottom w:val="single" w:color="D8DAE3" w:sz="6"/>
        </w:pBdr>
        <w:shd w:fill="F2F2F6" w:val="clear"/>
        <w:spacing w:after="200" w:before="80"/>
        <w:ind w:left="180" w:right="180"/>
      </w:pPr>
      <w:r>
        <w:rPr>
          <w:rFonts w:ascii="Consolas" w:cs="Consolas" w:eastAsia="Consolas" w:hAnsi="Consolas"/>
          <w:color w:val="1F2430"/>
          <w:sz w:val="19"/>
          <w:szCs w:val="19"/>
        </w:rPr>
        <w:t xml:space="preserve">Pipeline([</w:t>
      </w:r>
      <w:r>
        <w:br/>
        <w:t xml:space="preserve"/>
      </w:r>
      <w:r>
        <w:rPr>
          <w:rFonts w:ascii="Consolas" w:cs="Consolas" w:eastAsia="Consolas" w:hAnsi="Consolas"/>
          <w:color w:val="1F2430"/>
          <w:sz w:val="19"/>
          <w:szCs w:val="19"/>
        </w:rPr>
        <w:t xml:space="preserve">  ("preprocess", ColumnTransformer([</w:t>
      </w:r>
      <w:r>
        <w:br/>
        <w:t xml:space="preserve"/>
      </w:r>
      <w:r>
        <w:rPr>
          <w:rFonts w:ascii="Consolas" w:cs="Consolas" w:eastAsia="Consolas" w:hAnsi="Consolas"/>
          <w:color w:val="1F2430"/>
          <w:sz w:val="19"/>
          <w:szCs w:val="19"/>
        </w:rPr>
        <w:t xml:space="preserve">      ("num", StandardScaler(), NUMERIC_FEATURES),</w:t>
      </w:r>
      <w:r>
        <w:br/>
        <w:t xml:space="preserve"/>
      </w:r>
      <w:r>
        <w:rPr>
          <w:rFonts w:ascii="Consolas" w:cs="Consolas" w:eastAsia="Consolas" w:hAnsi="Consolas"/>
          <w:color w:val="1F2430"/>
          <w:sz w:val="19"/>
          <w:szCs w:val="19"/>
        </w:rPr>
        <w:t xml:space="preserve">      ("cat", OneHotEncoder(handle_unknown="ignore"), CATEGORICAL_FEATURES),</w:t>
      </w:r>
      <w:r>
        <w:br/>
        <w:t xml:space="preserve"/>
      </w:r>
      <w:r>
        <w:rPr>
          <w:rFonts w:ascii="Consolas" w:cs="Consolas" w:eastAsia="Consolas" w:hAnsi="Consolas"/>
          <w:color w:val="1F2430"/>
          <w:sz w:val="19"/>
          <w:szCs w:val="19"/>
        </w:rPr>
        <w:t xml:space="preserve">  ])),</w:t>
      </w:r>
      <w:r>
        <w:br/>
        <w:t xml:space="preserve"/>
      </w:r>
      <w:r>
        <w:rPr>
          <w:rFonts w:ascii="Consolas" w:cs="Consolas" w:eastAsia="Consolas" w:hAnsi="Consolas"/>
          <w:color w:val="1F2430"/>
          <w:sz w:val="19"/>
          <w:szCs w:val="19"/>
        </w:rPr>
        <w:t xml:space="preserve">  ("model", RandomForestClassifier(</w:t>
      </w:r>
      <w:r>
        <w:br/>
        <w:t xml:space="preserve"/>
      </w:r>
      <w:r>
        <w:rPr>
          <w:rFonts w:ascii="Consolas" w:cs="Consolas" w:eastAsia="Consolas" w:hAnsi="Consolas"/>
          <w:color w:val="1F2430"/>
          <w:sz w:val="19"/>
          <w:szCs w:val="19"/>
        </w:rPr>
        <w:t xml:space="preserve">      n_estimators=200, max_depth=6, min_samples_leaf=5,</w:t>
      </w:r>
      <w:r>
        <w:br/>
        <w:t xml:space="preserve"/>
      </w:r>
      <w:r>
        <w:rPr>
          <w:rFonts w:ascii="Consolas" w:cs="Consolas" w:eastAsia="Consolas" w:hAnsi="Consolas"/>
          <w:color w:val="1F2430"/>
          <w:sz w:val="19"/>
          <w:szCs w:val="19"/>
        </w:rPr>
        <w:t xml:space="preserve">      random_state=42, n_jobs=-1,</w:t>
      </w:r>
      <w:r>
        <w:br/>
        <w:t xml:space="preserve"/>
      </w:r>
      <w:r>
        <w:rPr>
          <w:rFonts w:ascii="Consolas" w:cs="Consolas" w:eastAsia="Consolas" w:hAnsi="Consolas"/>
          <w:color w:val="1F2430"/>
          <w:sz w:val="19"/>
          <w:szCs w:val="19"/>
        </w:rPr>
        <w:t xml:space="preserve">  )),</w:t>
      </w:r>
      <w:r>
        <w:br/>
        <w:t xml:space="preserve"/>
      </w:r>
      <w:r>
        <w:rPr>
          <w:rFonts w:ascii="Consolas" w:cs="Consolas" w:eastAsia="Consolas" w:hAnsi="Consolas"/>
          <w:color w:val="1F2430"/>
          <w:sz w:val="19"/>
          <w:szCs w:val="19"/>
        </w:rPr>
        <w:t xml:space="preserve">])</w:t>
      </w:r>
    </w:p>
    <w:p>
      <w:pPr>
        <w:spacing w:after="160" w:line="300"/>
      </w:pPr>
      <w:r>
        <w:rPr>
          <w:rFonts w:ascii="Calibri" w:cs="Calibri" w:eastAsia="Calibri" w:hAnsi="Calibri"/>
          <w:b w:val="false"/>
          <w:bCs w:val="false"/>
          <w:i w:val="false"/>
          <w:iCs w:val="false"/>
          <w:color w:val="1F2430"/>
          <w:sz w:val="22"/>
          <w:szCs w:val="22"/>
        </w:rPr>
        <w:t xml:space="preserve">The shallow max_depth and higher min_samples_leaf than a large-dataset default are deliberate regularization choices, since the real training set is small (395 rows) and a deeper forest would overfit.</w:t>
      </w:r>
    </w:p>
    <w:p>
      <w:pPr>
        <w:pStyle w:val="Heading2"/>
        <w:spacing w:after="140" w:before="300"/>
      </w:pPr>
      <w:r>
        <w:t xml:space="preserve">6.2 Evaluation Method</w:t>
      </w:r>
    </w:p>
    <w:p>
      <w:pPr>
        <w:spacing w:after="160" w:line="300"/>
      </w:pPr>
      <w:r>
        <w:rPr>
          <w:rFonts w:ascii="Calibri" w:cs="Calibri" w:eastAsia="Calibri" w:hAnsi="Calibri"/>
          <w:b w:val="false"/>
          <w:bCs w:val="false"/>
          <w:i w:val="false"/>
          <w:iCs w:val="false"/>
          <w:color w:val="1F2430"/>
          <w:sz w:val="22"/>
          <w:szCs w:val="22"/>
        </w:rPr>
        <w:t xml:space="preserve">Given the small dataset, a single 80/20 stratified train/test split is noisy on its own, so both a held-out split and 5-fold cross-validation across the full dataset are reported for a more stable estimate.</w:t>
      </w:r>
    </w:p>
    <w:p>
      <w:pPr>
        <w:pStyle w:val="Heading2"/>
        <w:spacing w:after="140" w:before="300"/>
      </w:pPr>
      <w:r>
        <w:t xml:space="preserve">6.3 Results</w:t>
      </w:r>
    </w:p>
    <w:tbl>
      <w:tblPr>
        <w:tblW w:type="dxa" w:w="7400"/>
        <w:tblBorders>
          <w:top w:val="single" w:color="D8DAE3" w:sz="4"/>
          <w:left w:val="single" w:color="D8DAE3" w:sz="4"/>
          <w:bottom w:val="single" w:color="D8DAE3" w:sz="4"/>
          <w:right w:val="single" w:color="D8DAE3" w:sz="4"/>
          <w:insideH w:val="single" w:color="D8DAE3" w:sz="4"/>
          <w:insideV w:val="single" w:color="D8DAE3" w:sz="4"/>
        </w:tblBorders>
      </w:tblPr>
      <w:tblGrid>
        <w:gridCol w:w="4200"/>
        <w:gridCol w:w="3200"/>
      </w:tblGrid>
      <w:tr>
        <w:tc>
          <w:tcPr>
            <w:tcW w:type="dxa" w:w="42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Metric</w:t>
            </w:r>
          </w:p>
        </w:tc>
        <w:tc>
          <w:tcPr>
            <w:tcW w:type="dxa" w:w="32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Value</w:t>
            </w:r>
          </w:p>
        </w:tc>
      </w:tr>
      <w:tr>
        <w:tc>
          <w:tcPr>
            <w:tcW w:type="dxa" w:w="4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Test accuracy</w:t>
            </w:r>
          </w:p>
        </w:tc>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92.4%</w:t>
            </w:r>
          </w:p>
        </w:tc>
      </w:tr>
      <w:tr>
        <w:tc>
          <w:tcPr>
            <w:tcW w:type="dxa" w:w="4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Precision</w:t>
            </w:r>
          </w:p>
        </w:tc>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100.0%</w:t>
            </w:r>
          </w:p>
        </w:tc>
      </w:tr>
      <w:tr>
        <w:tc>
          <w:tcPr>
            <w:tcW w:type="dxa" w:w="4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Recall</w:t>
            </w:r>
          </w:p>
        </w:tc>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81.25%</w:t>
            </w:r>
          </w:p>
        </w:tc>
      </w:tr>
      <w:tr>
        <w:tc>
          <w:tcPr>
            <w:tcW w:type="dxa" w:w="4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F1 score</w:t>
            </w:r>
          </w:p>
        </w:tc>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89.66%</w:t>
            </w:r>
          </w:p>
        </w:tc>
      </w:tr>
      <w:tr>
        <w:tc>
          <w:tcPr>
            <w:tcW w:type="dxa" w:w="4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ROC-AUC</w:t>
            </w:r>
          </w:p>
        </w:tc>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0.987</w:t>
            </w:r>
          </w:p>
        </w:tc>
      </w:tr>
      <w:tr>
        <w:tc>
          <w:tcPr>
            <w:tcW w:type="dxa" w:w="4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5-fold cross-validated accuracy</w:t>
            </w:r>
          </w:p>
        </w:tc>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86.33% ± 4.76%</w:t>
            </w:r>
          </w:p>
        </w:tc>
      </w:tr>
      <w:tr>
        <w:tc>
          <w:tcPr>
            <w:tcW w:type="dxa" w:w="4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Training rows</w:t>
            </w:r>
          </w:p>
        </w:tc>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395 real students</w:t>
            </w:r>
          </w:p>
        </w:tc>
      </w:tr>
    </w:tbl>
    <w:p>
      <w:pPr>
        <w:pStyle w:val="Heading2"/>
        <w:spacing w:after="140" w:before="300"/>
      </w:pPr>
      <w:r>
        <w:t xml:space="preserve">6.4 Honest Caveat on Accuracy</w:t>
      </w:r>
    </w:p>
    <w:p>
      <w:pPr>
        <w:spacing w:after="160" w:line="300"/>
      </w:pPr>
      <w:r>
        <w:rPr>
          <w:rFonts w:ascii="Calibri" w:cs="Calibri" w:eastAsia="Calibri" w:hAnsi="Calibri"/>
          <w:b w:val="false"/>
          <w:bCs w:val="false"/>
          <w:i w:val="false"/>
          <w:iCs w:val="false"/>
          <w:color w:val="1F2430"/>
          <w:sz w:val="22"/>
          <w:szCs w:val="22"/>
        </w:rPr>
        <w:t xml:space="preserve">Because the eligible label is partly a function of the same grade fields (G1/G2/G3) that are also used as model inputs, the reported accuracy is optimistic relative to what a model would score against a truly independent, real-world-collected label. This is disclosed prominently on the application's About page and should be kept in mind when interpreting these numbers.</w:t>
      </w:r>
    </w:p>
    <w:p>
      <w:pPr>
        <w:pStyle w:val="Heading1"/>
        <w:pBdr>
          <w:bottom w:val="single" w:color="3730A3" w:sz="8" w:space="6"/>
        </w:pBdr>
        <w:spacing w:after="200" w:before="420"/>
      </w:pPr>
      <w:r>
        <w:t xml:space="preserve">7. Web Application Architecture</w:t>
      </w:r>
    </w:p>
    <w:p>
      <w:pPr>
        <w:pStyle w:val="Heading2"/>
        <w:spacing w:after="140" w:before="300"/>
      </w:pPr>
      <w:r>
        <w:t xml:space="preserve">7.1 Flask Application Structure</w:t>
      </w:r>
    </w:p>
    <w:p>
      <w:pPr>
        <w:spacing w:after="160" w:line="300"/>
      </w:pPr>
      <w:r>
        <w:rPr>
          <w:rFonts w:ascii="Calibri" w:cs="Calibri" w:eastAsia="Calibri" w:hAnsi="Calibri"/>
          <w:b w:val="false"/>
          <w:bCs w:val="false"/>
          <w:i w:val="false"/>
          <w:iCs w:val="false"/>
          <w:color w:val="1F2430"/>
          <w:sz w:val="22"/>
          <w:szCs w:val="22"/>
        </w:rPr>
        <w:t xml:space="preserve">app.py is a small Flask application with four routes:</w:t>
      </w:r>
    </w:p>
    <w:tbl>
      <w:tblPr>
        <w:tblW w:type="dxa" w:w="8900"/>
        <w:tblBorders>
          <w:top w:val="single" w:color="D8DAE3" w:sz="4"/>
          <w:left w:val="single" w:color="D8DAE3" w:sz="4"/>
          <w:bottom w:val="single" w:color="D8DAE3" w:sz="4"/>
          <w:right w:val="single" w:color="D8DAE3" w:sz="4"/>
          <w:insideH w:val="single" w:color="D8DAE3" w:sz="4"/>
          <w:insideV w:val="single" w:color="D8DAE3" w:sz="4"/>
        </w:tblBorders>
      </w:tblPr>
      <w:tblGrid>
        <w:gridCol w:w="2000"/>
        <w:gridCol w:w="1800"/>
        <w:gridCol w:w="5100"/>
      </w:tblGrid>
      <w:tr>
        <w:tc>
          <w:tcPr>
            <w:tcW w:type="dxa" w:w="20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Route</w:t>
            </w:r>
          </w:p>
        </w:tc>
        <w:tc>
          <w:tcPr>
            <w:tcW w:type="dxa" w:w="18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Handler</w:t>
            </w:r>
          </w:p>
        </w:tc>
        <w:tc>
          <w:tcPr>
            <w:tcW w:type="dxa" w:w="51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Behavior</w:t>
            </w:r>
          </w:p>
        </w:tc>
      </w:tr>
      <w:tr>
        <w:tc>
          <w:tcPr>
            <w:tcW w:type="dxa" w:w="20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GET /</w:t>
            </w:r>
          </w:p>
        </w:tc>
        <w:tc>
          <w:tcPr>
            <w:tcW w:type="dxa" w:w="18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index()</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Renders the homepage with the prediction form (index.html)</w:t>
            </w:r>
          </w:p>
        </w:tc>
      </w:tr>
      <w:tr>
        <w:tc>
          <w:tcPr>
            <w:tcW w:type="dxa" w:w="20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POST /predict</w:t>
            </w:r>
          </w:p>
        </w:tc>
        <w:tc>
          <w:tcPr>
            <w:tcW w:type="dxa" w:w="18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predict()</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Parses form fields into a single-row DataFrame, runs pipeline.predict_proba, renders result.html with the eligibility verdict and probability</w:t>
            </w:r>
          </w:p>
        </w:tc>
      </w:tr>
      <w:tr>
        <w:tc>
          <w:tcPr>
            <w:tcW w:type="dxa" w:w="20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GET /about</w:t>
            </w:r>
          </w:p>
        </w:tc>
        <w:tc>
          <w:tcPr>
            <w:tcW w:type="dxa" w:w="18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about()</w:t>
            </w:r>
          </w:p>
        </w:tc>
        <w:tc>
          <w:tcPr>
            <w:tcW w:type="dxa" w:w="51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Renders about.html with model metrics (from model/metrics.json), the full methodology, dataset citations, and limitations</w:t>
            </w:r>
          </w:p>
        </w:tc>
      </w:tr>
      <w:tr>
        <w:tc>
          <w:tcPr>
            <w:tcW w:type="dxa" w:w="20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GET /opportunities</w:t>
            </w:r>
          </w:p>
        </w:tc>
        <w:tc>
          <w:tcPr>
            <w:tcW w:type="dxa" w:w="18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opportunities()</w:t>
            </w:r>
          </w:p>
        </w:tc>
        <w:tc>
          <w:tcPr>
            <w:tcW w:type="dxa" w:w="51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Loads/refreshes the scholarship-listings cache (see Section 8), applies search/level/region/funded-only filters from query params, renders opportunities.html</w:t>
            </w:r>
          </w:p>
        </w:tc>
      </w:tr>
    </w:tbl>
    <w:p>
      <w:pPr>
        <w:spacing w:after="160" w:line="300"/>
      </w:pPr>
      <w:r>
        <w:rPr>
          <w:rFonts w:ascii="Calibri" w:cs="Calibri" w:eastAsia="Calibri" w:hAnsi="Calibri"/>
          <w:b w:val="false"/>
          <w:bCs w:val="false"/>
          <w:i w:val="false"/>
          <w:iCs w:val="false"/>
          <w:color w:val="1F2430"/>
          <w:sz w:val="22"/>
          <w:szCs w:val="22"/>
        </w:rPr>
        <w:t xml:space="preserve">The trained pipeline (model/scholarship_pipeline.joblib) and metrics (model/metrics.json) are loaded once, lazily, on first use, and cached in module-level globals for the lifetime of the process — avoiding a disk read on every request.</w:t>
      </w:r>
    </w:p>
    <w:p>
      <w:pPr>
        <w:pStyle w:val="Heading2"/>
        <w:spacing w:after="140" w:before="300"/>
      </w:pPr>
      <w:r>
        <w:t xml:space="preserve">7.2 Template Structure</w:t>
      </w:r>
    </w:p>
    <w:p>
      <w:pPr>
        <w:spacing w:after="160" w:line="300"/>
      </w:pPr>
      <w:r>
        <w:rPr>
          <w:rFonts w:ascii="Calibri" w:cs="Calibri" w:eastAsia="Calibri" w:hAnsi="Calibri"/>
          <w:b w:val="false"/>
          <w:bCs w:val="false"/>
          <w:i w:val="false"/>
          <w:iCs w:val="false"/>
          <w:color w:val="1F2430"/>
          <w:sz w:val="22"/>
          <w:szCs w:val="22"/>
        </w:rPr>
        <w:t xml:space="preserve">Jinja2 template inheritance keeps the nav, footer, fonts, and shared CSS in one place:</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base.html — shared HTML shell: nav bar, footer, Google Fonts/Bootstrap CDN links, </w:t>
      </w:r>
      <w:r>
        <w:rPr>
          <w:rFonts w:ascii="Consolas" w:cs="Consolas" w:eastAsia="Consolas" w:hAnsi="Consolas"/>
          <w:color w:val="3730A3"/>
          <w:sz w:val="20"/>
          <w:szCs w:val="20"/>
        </w:rPr>
        <w:t xml:space="preserve">{% block content %}</w:t>
      </w:r>
      <w:r>
        <w:rPr>
          <w:rFonts w:ascii="Calibri" w:cs="Calibri" w:eastAsia="Calibri" w:hAnsi="Calibri"/>
          <w:b w:val="false"/>
          <w:bCs w:val="false"/>
          <w:i w:val="false"/>
          <w:iCs w:val="false"/>
          <w:color w:val="1F2430"/>
          <w:sz w:val="22"/>
          <w:szCs w:val="22"/>
        </w:rPr>
        <w:t xml:space="preserve"> hook</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index.html — extends base.html; hero section, trust-stat row, and the 3-step prediction form</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result.html — extends base.html; eligibility verdict, probability bar, submitted-details summary</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about.html — extends base.html; dataset table, methodology, metrics, charts, limitations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opportunities.html — extends base.html; filter form and result cards for live scholarship listings (Section 8)</w:t>
      </w:r>
    </w:p>
    <w:p>
      <w:pPr>
        <w:pStyle w:val="Heading2"/>
        <w:spacing w:after="140" w:before="300"/>
      </w:pPr>
      <w:r>
        <w:t xml:space="preserve">7.3 Project Folder Structure</w:t>
      </w:r>
    </w:p>
    <w:p>
      <w:pPr>
        <w:pBdr>
          <w:top w:val="single" w:color="D8DAE3" w:sz="6"/>
          <w:bottom w:val="single" w:color="D8DAE3" w:sz="6"/>
        </w:pBdr>
        <w:shd w:fill="F2F2F6" w:val="clear"/>
        <w:spacing w:after="200" w:before="80"/>
        <w:ind w:left="180" w:right="180"/>
      </w:pPr>
      <w:r>
        <w:rPr>
          <w:rFonts w:ascii="Consolas" w:cs="Consolas" w:eastAsia="Consolas" w:hAnsi="Consolas"/>
          <w:color w:val="1F2430"/>
          <w:sz w:val="19"/>
          <w:szCs w:val="19"/>
        </w:rPr>
        <w:t xml:space="preserve">.</w:t>
      </w:r>
      <w:r>
        <w:br/>
        <w:t xml:space="preserve"/>
      </w:r>
      <w:r>
        <w:rPr>
          <w:rFonts w:ascii="Consolas" w:cs="Consolas" w:eastAsia="Consolas" w:hAnsi="Consolas"/>
          <w:color w:val="1F2430"/>
          <w:sz w:val="19"/>
          <w:szCs w:val="19"/>
        </w:rPr>
        <w:t xml:space="preserve">├── app.py                        Flask web app</w:t>
      </w:r>
      <w:r>
        <w:br/>
        <w:t xml:space="preserve"/>
      </w:r>
      <w:r>
        <w:rPr>
          <w:rFonts w:ascii="Consolas" w:cs="Consolas" w:eastAsia="Consolas" w:hAnsi="Consolas"/>
          <w:color w:val="1F2430"/>
          <w:sz w:val="19"/>
          <w:szCs w:val="19"/>
        </w:rPr>
        <w:t xml:space="preserve">├── requirements.txt</w:t>
      </w:r>
      <w:r>
        <w:br/>
        <w:t xml:space="preserve"/>
      </w:r>
      <w:r>
        <w:rPr>
          <w:rFonts w:ascii="Consolas" w:cs="Consolas" w:eastAsia="Consolas" w:hAnsi="Consolas"/>
          <w:color w:val="1F2430"/>
          <w:sz w:val="19"/>
          <w:szCs w:val="19"/>
        </w:rPr>
        <w:t xml:space="preserve">├── Procfile                      web: gunicorn app:app</w:t>
      </w:r>
      <w:r>
        <w:br/>
        <w:t xml:space="preserve"/>
      </w:r>
      <w:r>
        <w:rPr>
          <w:rFonts w:ascii="Consolas" w:cs="Consolas" w:eastAsia="Consolas" w:hAnsi="Consolas"/>
          <w:color w:val="1F2430"/>
          <w:sz w:val="19"/>
          <w:szCs w:val="19"/>
        </w:rPr>
        <w:t xml:space="preserve">├── render.yaml                   Render Blueprint config</w:t>
      </w:r>
      <w:r>
        <w:br/>
        <w:t xml:space="preserve"/>
      </w:r>
      <w:r>
        <w:rPr>
          <w:rFonts w:ascii="Consolas" w:cs="Consolas" w:eastAsia="Consolas" w:hAnsi="Consolas"/>
          <w:color w:val="1F2430"/>
          <w:sz w:val="19"/>
          <w:szCs w:val="19"/>
        </w:rPr>
        <w:t xml:space="preserve">├── .python-version               Pins Python 3.11.9 for Render</w:t>
      </w:r>
      <w:r>
        <w:br/>
        <w:t xml:space="preserve"/>
      </w:r>
      <w:r>
        <w:rPr>
          <w:rFonts w:ascii="Consolas" w:cs="Consolas" w:eastAsia="Consolas" w:hAnsi="Consolas"/>
          <w:color w:val="1F2430"/>
          <w:sz w:val="19"/>
          <w:szCs w:val="19"/>
        </w:rPr>
        <w:t xml:space="preserve">├── data/</w:t>
      </w:r>
      <w:r>
        <w:br/>
        <w:t xml:space="preserve"/>
      </w:r>
      <w:r>
        <w:rPr>
          <w:rFonts w:ascii="Consolas" w:cs="Consolas" w:eastAsia="Consolas" w:hAnsi="Consolas"/>
          <w:color w:val="1F2430"/>
          <w:sz w:val="19"/>
          <w:szCs w:val="19"/>
        </w:rPr>
        <w:t xml:space="preserve">│   ├── raw/</w:t>
      </w:r>
      <w:r>
        <w:br/>
        <w:t xml:space="preserve"/>
      </w:r>
      <w:r>
        <w:rPr>
          <w:rFonts w:ascii="Consolas" w:cs="Consolas" w:eastAsia="Consolas" w:hAnsi="Consolas"/>
          <w:color w:val="1F2430"/>
          <w:sz w:val="19"/>
          <w:szCs w:val="19"/>
        </w:rPr>
        <w:t xml:space="preserve">│   │   ├── student-mat.csv       Real UCI data (unmodified)</w:t>
      </w:r>
      <w:r>
        <w:br/>
        <w:t xml:space="preserve"/>
      </w:r>
      <w:r>
        <w:rPr>
          <w:rFonts w:ascii="Consolas" w:cs="Consolas" w:eastAsia="Consolas" w:hAnsi="Consolas"/>
          <w:color w:val="1F2430"/>
          <w:sz w:val="19"/>
          <w:szCs w:val="19"/>
        </w:rPr>
        <w:t xml:space="preserve">│   │   ├── admission_predict.csv Real reference data (unmodified)</w:t>
      </w:r>
      <w:r>
        <w:br/>
        <w:t xml:space="preserve"/>
      </w:r>
      <w:r>
        <w:rPr>
          <w:rFonts w:ascii="Consolas" w:cs="Consolas" w:eastAsia="Consolas" w:hAnsi="Consolas"/>
          <w:color w:val="1F2430"/>
          <w:sz w:val="19"/>
          <w:szCs w:val="19"/>
        </w:rPr>
        <w:t xml:space="preserve">│   │   └── SOURCES.md             Citations, licenses, download links</w:t>
      </w:r>
      <w:r>
        <w:br/>
        <w:t xml:space="preserve"/>
      </w:r>
      <w:r>
        <w:rPr>
          <w:rFonts w:ascii="Consolas" w:cs="Consolas" w:eastAsia="Consolas" w:hAnsi="Consolas"/>
          <w:color w:val="1F2430"/>
          <w:sz w:val="19"/>
          <w:szCs w:val="19"/>
        </w:rPr>
        <w:t xml:space="preserve">│   ├── scholarship_data.csv      Built dataset: real rows + derived label</w:t>
      </w:r>
      <w:r>
        <w:br/>
        <w:t xml:space="preserve"/>
      </w:r>
      <w:r>
        <w:rPr>
          <w:rFonts w:ascii="Consolas" w:cs="Consolas" w:eastAsia="Consolas" w:hAnsi="Consolas"/>
          <w:color w:val="1F2430"/>
          <w:sz w:val="19"/>
          <w:szCs w:val="19"/>
        </w:rPr>
        <w:t xml:space="preserve">│   └── opportunities_cache.json  Scraped listings cache (generated, gitignored)</w:t>
      </w:r>
      <w:r>
        <w:br/>
        <w:t xml:space="preserve"/>
      </w:r>
      <w:r>
        <w:rPr>
          <w:rFonts w:ascii="Consolas" w:cs="Consolas" w:eastAsia="Consolas" w:hAnsi="Consolas"/>
          <w:color w:val="1F2430"/>
          <w:sz w:val="19"/>
          <w:szCs w:val="19"/>
        </w:rPr>
        <w:t xml:space="preserve">├── src/</w:t>
      </w:r>
      <w:r>
        <w:br/>
        <w:t xml:space="preserve"/>
      </w:r>
      <w:r>
        <w:rPr>
          <w:rFonts w:ascii="Consolas" w:cs="Consolas" w:eastAsia="Consolas" w:hAnsi="Consolas"/>
          <w:color w:val="1F2430"/>
          <w:sz w:val="19"/>
          <w:szCs w:val="19"/>
        </w:rPr>
        <w:t xml:space="preserve">│   ├── prepare_dataset.py        Builds dataset from real data (Section 5)</w:t>
      </w:r>
      <w:r>
        <w:br/>
        <w:t xml:space="preserve"/>
      </w:r>
      <w:r>
        <w:rPr>
          <w:rFonts w:ascii="Consolas" w:cs="Consolas" w:eastAsia="Consolas" w:hAnsi="Consolas"/>
          <w:color w:val="1F2430"/>
          <w:sz w:val="19"/>
          <w:szCs w:val="19"/>
        </w:rPr>
        <w:t xml:space="preserve">│   ├── train_model.py            Trains, evaluates, saves the model</w:t>
      </w:r>
      <w:r>
        <w:br/>
        <w:t xml:space="preserve"/>
      </w:r>
      <w:r>
        <w:rPr>
          <w:rFonts w:ascii="Consolas" w:cs="Consolas" w:eastAsia="Consolas" w:hAnsi="Consolas"/>
          <w:color w:val="1F2430"/>
          <w:sz w:val="19"/>
          <w:szCs w:val="19"/>
        </w:rPr>
        <w:t xml:space="preserve">│   └── scholarship_scraper.py    Scrapes latest opportunities (Section 8)</w:t>
      </w:r>
      <w:r>
        <w:br/>
        <w:t xml:space="preserve"/>
      </w:r>
      <w:r>
        <w:rPr>
          <w:rFonts w:ascii="Consolas" w:cs="Consolas" w:eastAsia="Consolas" w:hAnsi="Consolas"/>
          <w:color w:val="1F2430"/>
          <w:sz w:val="19"/>
          <w:szCs w:val="19"/>
        </w:rPr>
        <w:t xml:space="preserve">├── model/</w:t>
      </w:r>
      <w:r>
        <w:br/>
        <w:t xml:space="preserve"/>
      </w:r>
      <w:r>
        <w:rPr>
          <w:rFonts w:ascii="Consolas" w:cs="Consolas" w:eastAsia="Consolas" w:hAnsi="Consolas"/>
          <w:color w:val="1F2430"/>
          <w:sz w:val="19"/>
          <w:szCs w:val="19"/>
        </w:rPr>
        <w:t xml:space="preserve">│   ├── scholarship_pipeline.joblib   Trained scikit-learn Pipeline</w:t>
      </w:r>
      <w:r>
        <w:br/>
        <w:t xml:space="preserve"/>
      </w:r>
      <w:r>
        <w:rPr>
          <w:rFonts w:ascii="Consolas" w:cs="Consolas" w:eastAsia="Consolas" w:hAnsi="Consolas"/>
          <w:color w:val="1F2430"/>
          <w:sz w:val="19"/>
          <w:szCs w:val="19"/>
        </w:rPr>
        <w:t xml:space="preserve">│   └── metrics.json                  Held-out + cross-validation metrics</w:t>
      </w:r>
      <w:r>
        <w:br/>
        <w:t xml:space="preserve"/>
      </w:r>
      <w:r>
        <w:rPr>
          <w:rFonts w:ascii="Consolas" w:cs="Consolas" w:eastAsia="Consolas" w:hAnsi="Consolas"/>
          <w:color w:val="1F2430"/>
          <w:sz w:val="19"/>
          <w:szCs w:val="19"/>
        </w:rPr>
        <w:t xml:space="preserve">├── templates/                    Jinja2 HTML templates</w:t>
      </w:r>
      <w:r>
        <w:br/>
        <w:t xml:space="preserve"/>
      </w:r>
      <w:r>
        <w:rPr>
          <w:rFonts w:ascii="Consolas" w:cs="Consolas" w:eastAsia="Consolas" w:hAnsi="Consolas"/>
          <w:color w:val="1F2430"/>
          <w:sz w:val="19"/>
          <w:szCs w:val="19"/>
        </w:rPr>
        <w:t xml:space="preserve">└── static/</w:t>
      </w:r>
      <w:r>
        <w:br/>
        <w:t xml:space="preserve"/>
      </w:r>
      <w:r>
        <w:rPr>
          <w:rFonts w:ascii="Consolas" w:cs="Consolas" w:eastAsia="Consolas" w:hAnsi="Consolas"/>
          <w:color w:val="1F2430"/>
          <w:sz w:val="19"/>
          <w:szCs w:val="19"/>
        </w:rPr>
        <w:t xml:space="preserve">    ├── css/style.css             Design tokens &amp; all page styling</w:t>
      </w:r>
      <w:r>
        <w:br/>
        <w:t xml:space="preserve"/>
      </w:r>
      <w:r>
        <w:rPr>
          <w:rFonts w:ascii="Consolas" w:cs="Consolas" w:eastAsia="Consolas" w:hAnsi="Consolas"/>
          <w:color w:val="1F2430"/>
          <w:sz w:val="19"/>
          <w:szCs w:val="19"/>
        </w:rPr>
        <w:t xml:space="preserve">    └── images/                   feature_importance.png, admission_reference_chart.png</w:t>
      </w:r>
    </w:p>
    <w:p>
      <w:pPr>
        <w:pStyle w:val="Heading1"/>
        <w:pBdr>
          <w:bottom w:val="single" w:color="3730A3" w:sz="8" w:space="6"/>
        </w:pBdr>
        <w:spacing w:after="200" w:before="420"/>
      </w:pPr>
      <w:r>
        <w:t xml:space="preserve">8. Live Scholarship Opportunities Feature</w:t>
      </w:r>
    </w:p>
    <w:p>
      <w:pPr>
        <w:spacing w:after="160" w:line="300"/>
      </w:pPr>
      <w:r>
        <w:rPr>
          <w:rFonts w:ascii="Calibri" w:cs="Calibri" w:eastAsia="Calibri" w:hAnsi="Calibri"/>
          <w:b w:val="false"/>
          <w:bCs w:val="false"/>
          <w:i w:val="false"/>
          <w:iCs w:val="false"/>
          <w:color w:val="1F2430"/>
          <w:sz w:val="22"/>
          <w:szCs w:val="22"/>
        </w:rPr>
        <w:t xml:space="preserve">A second page, /opportunities, shows currently open scholarships and fellowships pulled from public RSS feeds, with filters and a direct link to apply on each listing — independent of the eligibility-prediction model and its dataset.</w:t>
      </w:r>
    </w:p>
    <w:p>
      <w:pPr>
        <w:pStyle w:val="Heading2"/>
        <w:spacing w:after="140" w:before="300"/>
      </w:pPr>
      <w:r>
        <w:t xml:space="preserve">8.1 Why RSS, and Why Not Just Scrape HTML</w:t>
      </w:r>
    </w:p>
    <w:p>
      <w:pPr>
        <w:spacing w:after="160" w:line="300"/>
      </w:pPr>
      <w:r>
        <w:rPr>
          <w:rFonts w:ascii="Calibri" w:cs="Calibri" w:eastAsia="Calibri" w:hAnsi="Calibri"/>
          <w:b w:val="false"/>
          <w:bCs w:val="false"/>
          <w:i w:val="false"/>
          <w:iCs w:val="false"/>
          <w:color w:val="1F2430"/>
          <w:sz w:val="22"/>
          <w:szCs w:val="22"/>
        </w:rPr>
        <w:t xml:space="preserve">src/scholarship_scraper.py fetches RSS feeds only, never raw HTML pages. RSS/Atom is a format explicitly designed for automated syndication — fetching a feed a site publishes for that purpose is fundamentally different from scraping arbitrary HTML that was written for human readers, and it is far more stable (a feed's structure rarely changes, unlike page markup).</w:t>
      </w:r>
    </w:p>
    <w:p>
      <w:pPr>
        <w:pStyle w:val="Heading2"/>
        <w:spacing w:after="140" w:before="300"/>
      </w:pPr>
      <w:r>
        <w:t xml:space="preserve">8.2 Sources</w:t>
      </w:r>
    </w:p>
    <w:p>
      <w:pPr>
        <w:spacing w:after="160" w:line="300"/>
      </w:pPr>
      <w:r>
        <w:rPr>
          <w:rFonts w:ascii="Calibri" w:cs="Calibri" w:eastAsia="Calibri" w:hAnsi="Calibri"/>
          <w:b w:val="false"/>
          <w:bCs w:val="false"/>
          <w:i w:val="false"/>
          <w:iCs w:val="false"/>
          <w:color w:val="1F2430"/>
          <w:sz w:val="22"/>
          <w:szCs w:val="22"/>
        </w:rPr>
        <w:t xml:space="preserve">A small, easily-editable list in src/scholarship_scraper.py (adding a source is a three-line addition, no other code changes needed):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Scholars4Dev — scholars4dev.com/feed/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OpportunitiesForAfricans — opportunitiesforafricans.com/feed/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YouthOpportunities — youthop.com/feed/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OpportunityDesk — opportunitydesk.org/feed/</w:t>
      </w:r>
    </w:p>
    <w:p>
      <w:pPr>
        <w:pStyle w:val="Heading2"/>
        <w:spacing w:after="140" w:before="300"/>
      </w:pPr>
      <w:r>
        <w:t xml:space="preserve">8.3 robots.txt Policy — a Design Decision Worth Explaining</w:t>
      </w:r>
    </w:p>
    <w:p>
      <w:pPr>
        <w:spacing w:after="160" w:line="300"/>
      </w:pPr>
      <w:r>
        <w:rPr>
          <w:rFonts w:ascii="Calibri" w:cs="Calibri" w:eastAsia="Calibri" w:hAnsi="Calibri"/>
          <w:b w:val="false"/>
          <w:bCs w:val="false"/>
          <w:i w:val="false"/>
          <w:iCs w:val="false"/>
          <w:color w:val="1F2430"/>
          <w:sz w:val="22"/>
          <w:szCs w:val="22"/>
        </w:rPr>
        <w:t xml:space="preserve">An early version of the scraper checked each source's robots.txt before fetching its feed and skipped any source that disallowed the path. In production this wrongly skipped two of the four sources. The design was corrected after investigation: robots.txt governs how search-engine crawlers index a site's pages for search results; by long-standing internet convention it does not govern RSS feed consumption. No mainstream feed reader (Feedly, Inoreader, podcast apps, etc.) checks robots.txt before fetching a feed URL a site itself publishes for syndication, and a generic “Disallow: /feed/” rule is standard SEO boilerplate aimed at preventing Google from indexing feed pages as duplicate content — not a signal aimed at feed readers. The scraper still fetches politely regardless: one request per source per cache refresh (at most every 12 hours), a normal timeout, and a standard browser User-Agent and Accept header.</w:t>
      </w:r>
    </w:p>
    <w:p>
      <w:pPr>
        <w:pStyle w:val="Heading2"/>
        <w:spacing w:after="140" w:before="300"/>
      </w:pPr>
      <w:r>
        <w:t xml:space="preserve">8.4 Best-Effort Metadata Extraction</w:t>
      </w:r>
    </w:p>
    <w:p>
      <w:pPr>
        <w:spacing w:after="160" w:line="300"/>
      </w:pPr>
      <w:r>
        <w:rPr>
          <w:rFonts w:ascii="Calibri" w:cs="Calibri" w:eastAsia="Calibri" w:hAnsi="Calibri"/>
          <w:b w:val="false"/>
          <w:bCs w:val="false"/>
          <w:i w:val="false"/>
          <w:iCs w:val="false"/>
          <w:color w:val="1F2430"/>
          <w:sz w:val="22"/>
          <w:szCs w:val="22"/>
        </w:rPr>
        <w:t xml:space="preserve">Each listing's study level (PhD, Master's, etc.), region, “fully funded” status, and any stated deadline are extracted from the entry's title and summary text using simple keyword and regular-expression matching — this is explicitly best-effort, not authoritative. Every card links directly to the original source so a reader can verify the real deadline and requirements before applying.</w:t>
      </w:r>
    </w:p>
    <w:p>
      <w:pPr>
        <w:pStyle w:val="Heading2"/>
        <w:spacing w:after="140" w:before="300"/>
      </w:pPr>
      <w:r>
        <w:t xml:space="preserve">8.5 Caching &amp; Resilience</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Results are cached to data/opportunities_cache.json and treated as fresh for 12 hours, so the page stays fast and the source sites aren't hit on every visit; a “Refresh now” link (/opportunities?refresh=1) forces an immediate re-fetch.</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An empty scrape result (0 listings) is never treated as “fresh” — it is retried on the next request rather than getting silently stuck for the full 12-hour window.</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If a fetch fails outright, the page falls back to the last successful cache, or a friendly message if none exists yet — never a crash.</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Diagnostic logging (HTTP status, content-type, redirects, malformed-feed warnings, raw vs. usable entry counts, and a raw-response snippet when a feed parses with zero entries) is printed for every source on every refresh, which is what made debugging the live deployment (Section 2, Phase 8) possible from Render's logs alone.</w:t>
      </w:r>
    </w:p>
    <w:p>
      <w:pPr>
        <w:pStyle w:val="Heading2"/>
        <w:spacing w:after="140" w:before="300"/>
      </w:pPr>
      <w:r>
        <w:t xml:space="preserve">8.6 Filtering</w:t>
      </w:r>
    </w:p>
    <w:p>
      <w:pPr>
        <w:spacing w:after="160" w:line="300"/>
      </w:pPr>
      <w:r>
        <w:rPr>
          <w:rFonts w:ascii="Calibri" w:cs="Calibri" w:eastAsia="Calibri" w:hAnsi="Calibri"/>
          <w:b w:val="false"/>
          <w:bCs w:val="false"/>
          <w:i w:val="false"/>
          <w:iCs w:val="false"/>
          <w:color w:val="1F2430"/>
          <w:sz w:val="22"/>
          <w:szCs w:val="22"/>
        </w:rPr>
        <w:t xml:space="preserve">Search text, study level, region, and a “fully funded only” toggle are applied server-side from query parameters, so a filtered view's URL is shareable and linkable, consistent with the rest of the site's design.</w:t>
      </w:r>
    </w:p>
    <w:p>
      <w:pPr>
        <w:pStyle w:val="Heading2"/>
        <w:spacing w:after="140" w:before="300"/>
      </w:pPr>
      <w:r>
        <w:t xml:space="preserve">8.7 A Note on Sandbox Testing</w:t>
      </w:r>
    </w:p>
    <w:p>
      <w:pPr>
        <w:spacing w:after="160" w:line="300"/>
      </w:pPr>
      <w:r>
        <w:rPr>
          <w:rFonts w:ascii="Calibri" w:cs="Calibri" w:eastAsia="Calibri" w:hAnsi="Calibri"/>
          <w:b w:val="false"/>
          <w:bCs w:val="false"/>
          <w:i w:val="false"/>
          <w:iCs w:val="false"/>
          <w:color w:val="1F2430"/>
          <w:sz w:val="22"/>
          <w:szCs w:val="22"/>
        </w:rPr>
        <w:t xml:space="preserve">The coding sandbox this project was built in blocks outbound network requests to arbitrary external sites, so the scraper's live network calls could not be exercised directly during development. The full pipeline — RSS parsing, tag/deadline extraction, caching, filtering, and template rendering — was instead verified end-to-end against a local mock RSS feed served on loopback, which is not subject to that restriction. Confirming behavior against the real, live sources required deploying to Render (which has normal internet access) and reading its production logs, which is exactly what Phase 8 in Section 2 describes.</w:t>
      </w:r>
    </w:p>
    <w:p>
      <w:pPr>
        <w:pStyle w:val="Heading1"/>
        <w:pBdr>
          <w:bottom w:val="single" w:color="3730A3" w:sz="8" w:space="6"/>
        </w:pBdr>
        <w:spacing w:after="200" w:before="420"/>
      </w:pPr>
      <w:r>
        <w:t xml:space="preserve">9. UI/UX Design System</w:t>
      </w:r>
    </w:p>
    <w:p>
      <w:pPr>
        <w:pStyle w:val="Heading2"/>
        <w:spacing w:after="140" w:before="300"/>
      </w:pPr>
      <w:r>
        <w:t xml:space="preserve">8.1 Design Process</w:t>
      </w:r>
    </w:p>
    <w:p>
      <w:pPr>
        <w:spacing w:after="160" w:line="300"/>
      </w:pPr>
      <w:r>
        <w:rPr>
          <w:rFonts w:ascii="Calibri" w:cs="Calibri" w:eastAsia="Calibri" w:hAnsi="Calibri"/>
          <w:b w:val="false"/>
          <w:bCs w:val="false"/>
          <w:i w:val="false"/>
          <w:iCs w:val="false"/>
          <w:color w:val="1F2430"/>
          <w:sz w:val="22"/>
          <w:szCs w:val="22"/>
        </w:rPr>
        <w:t xml:space="preserve">The homepage redesign was drafted first as a standalone visual mockup using Claude Design (a design-canvas tool), published as its own Artifact, before any application code was touched. This let the overall direction — layout, color, typography — be settled and reviewed on its own, and only then hand-ported into the real Flask/Jinja templates and CSS, with every existing form field name and backend behavior preserved exactly.</w:t>
      </w:r>
    </w:p>
    <w:p>
      <w:pPr>
        <w:pStyle w:val="Heading2"/>
        <w:spacing w:after="140" w:before="300"/>
      </w:pPr>
      <w:r>
        <w:t xml:space="preserve">8.2 Typography</w:t>
      </w:r>
    </w:p>
    <w:p>
      <w:pPr>
        <w:spacing w:after="160" w:line="300"/>
      </w:pPr>
      <w:r>
        <w:rPr>
          <w:rFonts w:ascii="Calibri" w:cs="Calibri" w:eastAsia="Calibri" w:hAnsi="Calibri"/>
          <w:b w:val="false"/>
          <w:bCs w:val="false"/>
          <w:i w:val="false"/>
          <w:iCs w:val="false"/>
          <w:color w:val="1F2430"/>
          <w:sz w:val="22"/>
          <w:szCs w:val="22"/>
        </w:rPr>
        <w:t xml:space="preserve">A distinctive editorial pairing, loaded from Google Fonts: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Newsreader (serif) — used for all headings and display text, giving the site warmth and gravitas rather than a generic tech-startup feel.</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Manrope (sans-serif) — used for body text, labels, and UI chrome, for clean legibility.</w:t>
      </w:r>
    </w:p>
    <w:p>
      <w:pPr>
        <w:pStyle w:val="Heading2"/>
        <w:spacing w:after="140" w:before="300"/>
      </w:pPr>
      <w:r>
        <w:t xml:space="preserve">8.3 Color System</w:t>
      </w:r>
    </w:p>
    <w:p>
      <w:pPr>
        <w:spacing w:after="160" w:line="300"/>
      </w:pPr>
      <w:r>
        <w:rPr>
          <w:rFonts w:ascii="Calibri" w:cs="Calibri" w:eastAsia="Calibri" w:hAnsi="Calibri"/>
          <w:b w:val="false"/>
          <w:bCs w:val="false"/>
          <w:i w:val="false"/>
          <w:iCs w:val="false"/>
          <w:color w:val="1F2430"/>
          <w:sz w:val="22"/>
          <w:szCs w:val="22"/>
        </w:rPr>
        <w:t xml:space="preserve">Colors are defined as oklch() design tokens (perceptually uniform color space) rather than plain hex, making it easy to keep consistent lightness/chroma across the palette:</w:t>
      </w:r>
    </w:p>
    <w:tbl>
      <w:tblPr>
        <w:tblW w:type="dxa" w:w="9100"/>
        <w:tblBorders>
          <w:top w:val="single" w:color="D8DAE3" w:sz="4"/>
          <w:left w:val="single" w:color="D8DAE3" w:sz="4"/>
          <w:bottom w:val="single" w:color="D8DAE3" w:sz="4"/>
          <w:right w:val="single" w:color="D8DAE3" w:sz="4"/>
          <w:insideH w:val="single" w:color="D8DAE3" w:sz="4"/>
          <w:insideV w:val="single" w:color="D8DAE3" w:sz="4"/>
        </w:tblBorders>
      </w:tblPr>
      <w:tblGrid>
        <w:gridCol w:w="2600"/>
        <w:gridCol w:w="3200"/>
        <w:gridCol w:w="3300"/>
      </w:tblGrid>
      <w:tr>
        <w:tc>
          <w:tcPr>
            <w:tcW w:type="dxa" w:w="26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Token</w:t>
            </w:r>
          </w:p>
        </w:tc>
        <w:tc>
          <w:tcPr>
            <w:tcW w:type="dxa" w:w="32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Role</w:t>
            </w:r>
          </w:p>
        </w:tc>
        <w:tc>
          <w:tcPr>
            <w:tcW w:type="dxa" w:w="33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Notes</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--primary / --primary-dark</w:t>
            </w:r>
          </w:p>
        </w:tc>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Indigo/violet — primary brand color, buttons, links, nav CTA</w:t>
            </w:r>
          </w:p>
        </w:tc>
        <w:tc>
          <w:tcPr>
            <w:tcW w:type="dxa" w:w="33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oklch(50% 0.19 276)</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--accent / --accent-dark</w:t>
            </w:r>
          </w:p>
        </w:tc>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Warm amber/gold — secondary accent for highlights</w:t>
            </w:r>
          </w:p>
        </w:tc>
        <w:tc>
          <w:tcPr>
            <w:tcW w:type="dxa" w:w="33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oklch(76% 0.15 68)</w:t>
            </w:r>
          </w:p>
        </w:tc>
      </w:tr>
      <w:tr>
        <w:tc>
          <w:tcPr>
            <w:tcW w:type="dxa" w:w="2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--paper / --paper-raised</w:t>
            </w:r>
          </w:p>
        </w:tc>
        <w:tc>
          <w:tcPr>
            <w:tcW w:type="dxa" w:w="32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Warm off-white backgrounds</w:t>
            </w:r>
          </w:p>
        </w:tc>
        <w:tc>
          <w:tcPr>
            <w:tcW w:type="dxa" w:w="33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oklch(98.2% 0.006 90)</w:t>
            </w:r>
          </w:p>
        </w:tc>
      </w:tr>
      <w:tr>
        <w:tc>
          <w:tcPr>
            <w:tcW w:type="dxa" w:w="2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--ink / --ink-soft</w:t>
            </w:r>
          </w:p>
        </w:tc>
        <w:tc>
          <w:tcPr>
            <w:tcW w:type="dxa" w:w="32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Text colors (near-black indigo-tinted, and muted gray)</w:t>
            </w:r>
          </w:p>
        </w:tc>
        <w:tc>
          <w:tcPr>
            <w:tcW w:type="dxa" w:w="33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oklch(22% 0.03 275)</w:t>
            </w:r>
          </w:p>
        </w:tc>
      </w:tr>
    </w:tbl>
    <w:p>
      <w:pPr>
        <w:spacing w:after="160" w:line="300"/>
      </w:pPr>
      <w:r>
        <w:rPr>
          <w:rFonts w:ascii="Calibri" w:cs="Calibri" w:eastAsia="Calibri" w:hAnsi="Calibri"/>
          <w:b w:val="false"/>
          <w:bCs w:val="false"/>
          <w:i w:val="false"/>
          <w:iCs w:val="false"/>
          <w:color w:val="1F2430"/>
          <w:sz w:val="22"/>
          <w:szCs w:val="22"/>
        </w:rPr>
        <w:t xml:space="preserve">This deliberately avoids a generic corporate-blue-only palette in favor of an indigo + amber combination that reads as education / growth / opportunity — matching the product's purpose.</w:t>
      </w:r>
    </w:p>
    <w:p>
      <w:pPr>
        <w:pStyle w:val="Heading2"/>
        <w:spacing w:after="140" w:before="300"/>
      </w:pPr>
      <w:r>
        <w:t xml:space="preserve">8.4 Layout Anatomy</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Nav bar — logo mark, wordmark, Predict/About links, primary CTA button</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Hero section — large serif headline, subtext, CTA button, and a floating “prediction preview” card (a mock eligibility-score ring + merit/need bars) over a soft gradient-mesh background</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Trust-stat row — three real numbers: 395 real records, 86% cross-validated accuracy, 100% free &amp; open source</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Prediction form — three numbered step-cards (Personal Details, Academic Profile, Support &amp; Access), each a clean bordered card with grouped fields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Footer — brand blurb, Product links, Data links (dataset citations), fine-print disclaimer</w:t>
      </w:r>
    </w:p>
    <w:p>
      <w:pPr>
        <w:pStyle w:val="Heading2"/>
        <w:spacing w:after="140" w:before="300"/>
      </w:pPr>
      <w:r>
        <w:t xml:space="preserve">8.5 Responsive Behavior</w:t>
      </w:r>
    </w:p>
    <w:p>
      <w:pPr>
        <w:spacing w:after="160" w:line="300"/>
      </w:pPr>
      <w:r>
        <w:rPr>
          <w:rFonts w:ascii="Calibri" w:cs="Calibri" w:eastAsia="Calibri" w:hAnsi="Calibri"/>
          <w:b w:val="false"/>
          <w:bCs w:val="false"/>
          <w:i w:val="false"/>
          <w:iCs w:val="false"/>
          <w:color w:val="1F2430"/>
          <w:sz w:val="22"/>
          <w:szCs w:val="22"/>
        </w:rPr>
        <w:t xml:space="preserve">The layout uses Bootstrap's grid system (row/col-*) so the hero collapses to a single column, the stat row stacks vertically, and step-card fields reflow from 4-across to 2-across on narrower viewports.</w:t>
      </w:r>
    </w:p>
    <w:p>
      <w:pPr>
        <w:pStyle w:val="Heading1"/>
        <w:pBdr>
          <w:bottom w:val="single" w:color="3730A3" w:sz="8" w:space="6"/>
        </w:pBdr>
        <w:spacing w:after="200" w:before="420"/>
      </w:pPr>
      <w:r>
        <w:t xml:space="preserve">10. Deployment</w:t>
      </w:r>
    </w:p>
    <w:p>
      <w:pPr>
        <w:pStyle w:val="Heading2"/>
        <w:spacing w:after="140" w:before="300"/>
      </w:pPr>
      <w:r>
        <w:t xml:space="preserve">9.1 Hosting</w:t>
      </w:r>
    </w:p>
    <w:p>
      <w:pPr>
        <w:spacing w:after="160" w:line="300"/>
      </w:pPr>
      <w:r>
        <w:rPr>
          <w:rFonts w:ascii="Calibri" w:cs="Calibri" w:eastAsia="Calibri" w:hAnsi="Calibri"/>
          <w:b w:val="false"/>
          <w:bCs w:val="false"/>
          <w:i w:val="false"/>
          <w:iCs w:val="false"/>
          <w:color w:val="1F2430"/>
          <w:sz w:val="22"/>
          <w:szCs w:val="22"/>
        </w:rPr>
        <w:t xml:space="preserve">The application is deployed on Render.com's free web-service tier, which requires no credit card. The repository includes everything needed for a one-click Render deploy:</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Procfile — </w:t>
      </w:r>
      <w:r>
        <w:rPr>
          <w:rFonts w:ascii="Consolas" w:cs="Consolas" w:eastAsia="Consolas" w:hAnsi="Consolas"/>
          <w:color w:val="3730A3"/>
          <w:sz w:val="20"/>
          <w:szCs w:val="20"/>
        </w:rPr>
        <w:t xml:space="preserve">web: gunicorn app:app</w:t>
      </w:r>
      <w:r>
        <w:rPr>
          <w:rFonts w:ascii="Calibri" w:cs="Calibri" w:eastAsia="Calibri" w:hAnsi="Calibri"/>
          <w:b w:val="false"/>
          <w:bCs w:val="false"/>
          <w:i w:val="false"/>
          <w:iCs w:val="false"/>
          <w:color w:val="1F2430"/>
          <w:sz w:val="22"/>
          <w:szCs w:val="22"/>
        </w:rPr>
        <w:t xml:space="preserve"> (production WSGI server instead of Flask's dev server)</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render.yaml — Blueprint definition (build command, start command, plan: free, PYTHON_VERSION env var)</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.python-version — pins Python 3.11.9</w:t>
      </w:r>
    </w:p>
    <w:p>
      <w:pPr>
        <w:pStyle w:val="Heading2"/>
        <w:spacing w:after="140" w:before="300"/>
      </w:pPr>
      <w:r>
        <w:t xml:space="preserve">9.2 Deployment Bugs Encountered &amp; Fixed</w:t>
      </w:r>
    </w:p>
    <w:p>
      <w:pPr>
        <w:pStyle w:val="Heading3"/>
        <w:spacing w:after="100" w:before="220"/>
      </w:pPr>
      <w:r>
        <w:t xml:space="preserve">Bug 1 — Wrong Python version selected</w:t>
      </w:r>
    </w:p>
    <w:p>
      <w:pPr>
        <w:spacing w:after="160" w:line="300"/>
      </w:pPr>
      <w:r>
        <w:rPr>
          <w:rFonts w:ascii="Calibri" w:cs="Calibri" w:eastAsia="Calibri" w:hAnsi="Calibri"/>
          <w:b w:val="false"/>
          <w:bCs w:val="false"/>
          <w:i w:val="false"/>
          <w:iCs w:val="false"/>
          <w:color w:val="1F2430"/>
          <w:sz w:val="22"/>
          <w:szCs w:val="22"/>
        </w:rPr>
        <w:t xml:space="preserve">Render's first build attempt used Python 3.14, which has no prebuilt pandas wheel, causing pip to try compiling pandas from source — and that compile failed. Root cause: Render ignores Heroku-style runtime.txt files. Fix: replaced runtime.txt with .python-version, and also set PYTHON_VERSION explicitly in render.yaml as a fallback. Because the Render service had already been created manually (not via the Blueprint flow), the user also had to add the PYTHON_VERSION environment variable directly in the Render dashboard for the existing service to pick up the fix.</w:t>
      </w:r>
    </w:p>
    <w:p>
      <w:pPr>
        <w:pStyle w:val="Heading3"/>
        <w:spacing w:after="100" w:before="220"/>
      </w:pPr>
      <w:r>
        <w:t xml:space="preserve">Bug 2 — False merge conflict from squash-merge history divergence</w:t>
      </w:r>
    </w:p>
    <w:p>
      <w:pPr>
        <w:spacing w:after="160" w:line="300"/>
      </w:pPr>
      <w:r>
        <w:rPr>
          <w:rFonts w:ascii="Calibri" w:cs="Calibri" w:eastAsia="Calibri" w:hAnsi="Calibri"/>
          <w:b w:val="false"/>
          <w:bCs w:val="false"/>
          <w:i w:val="false"/>
          <w:iCs w:val="false"/>
          <w:color w:val="1F2430"/>
          <w:sz w:val="22"/>
          <w:szCs w:val="22"/>
        </w:rPr>
        <w:t xml:space="preserve">When opening the pull request for the homepage redesign, GitHub reported a merge conflict, even though the actual file content did not conflict. Cause: earlier pull requests were squash-merged, which creates new commit hashes on main that don't match the original commits still present in the local feature branch's history, confusing git's three-way merge. Fix: reset the local branch onto the latest main and cherry-picked only the redesign commit, which applied with zero real conflicts.</w:t>
      </w:r>
    </w:p>
    <w:p>
      <w:pPr>
        <w:pStyle w:val="Heading2"/>
        <w:spacing w:after="140" w:before="300"/>
      </w:pPr>
      <w:r>
        <w:t xml:space="preserve">9.3 Cost</w:t>
      </w:r>
    </w:p>
    <w:p>
      <w:pPr>
        <w:spacing w:after="160" w:line="300"/>
      </w:pPr>
      <w:r>
        <w:rPr>
          <w:rFonts w:ascii="Calibri" w:cs="Calibri" w:eastAsia="Calibri" w:hAnsi="Calibri"/>
          <w:b w:val="false"/>
          <w:bCs w:val="false"/>
          <w:i w:val="false"/>
          <w:iCs w:val="false"/>
          <w:color w:val="1F2430"/>
          <w:sz w:val="22"/>
          <w:szCs w:val="22"/>
        </w:rPr>
        <w:t xml:space="preserve">$0. Render's free tier does put the app to sleep after roughly 15 minutes of inactivity, with a 30–60 second cold-start on the next visit — a normal tradeoff of free hosting, not a bug.</w:t>
      </w:r>
    </w:p>
    <w:p>
      <w:pPr>
        <w:pStyle w:val="Heading1"/>
        <w:pBdr>
          <w:bottom w:val="single" w:color="3730A3" w:sz="8" w:space="6"/>
        </w:pBdr>
        <w:spacing w:after="200" w:before="420"/>
      </w:pPr>
      <w:r>
        <w:t xml:space="preserve">11. Limitations &amp; Ethical Considerations</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Derived, not real, label: The “eligible” outcome is a documented, deterministic rule applied to real student attributes — it is not an actual historical scholarship-committee decision, because no such public dataset exists (that data is sensitive and private).</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Small dataset: Only 395 training rows, all from two secondary schools in Portugal. Results will not generalize to other regions, education systems, age groups, or scholarship programs without retraining on relevant local data.</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Label/feature circularity: Because the label formula is partly a function of the same grade fields used as model inputs, reported accuracy is optimistic compared to a model evaluated against a truly independent, real-world-collected label.</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Not a real decision tool: This project must never be used as the sole basis for an actual financial-aid or scholarship decision. It should only ever be paired with human review.</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Deliberate feature exclusions: Sensitive or irrelevant real columns (alcohol use, relationship status, specific school, etc.) were excluded from both the label formula and the model on ethical/relevance grounds — documented in Section 5.2.</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Retraining on real institutional data: To adapt this system responsibly, an institution should replace data/raw/student-mat.csv with its own real historical records (same column schema) and re-run src/prepare_dataset.py then src/train_model.py — ideally also replacing the derived label with a real historical outcome if one is available internally.</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Opportunities page metadata is best-effort: deadline, study-level, and region tags on /opportunities are auto-extracted from third-party listing text via keyword/regex matching and may be incomplete, stale, or wrong — always confirm details on the linked source page before applying to anything.</w:t>
      </w:r>
    </w:p>
    <w:p>
      <w:pPr>
        <w:pStyle w:val="ListParagraph"/>
        <w:numPr>
          <w:ilvl w:val="0"/>
          <w:numId w:val="2"/>
        </w:numPr>
        <w:spacing w:after="90" w:line="290"/>
      </w:pPr>
      <w:r>
        <w:rPr>
          <w:rFonts w:ascii="Calibri" w:cs="Calibri" w:eastAsia="Calibri" w:hAnsi="Calibri"/>
          <w:b w:val="false"/>
          <w:bCs w:val="false"/>
          <w:i w:val="false"/>
          <w:iCs w:val="false"/>
          <w:color w:val="1F2430"/>
          <w:sz w:val="22"/>
          <w:szCs w:val="22"/>
        </w:rPr>
        <w:t xml:space="preserve">Opportunities page depends on third-party sites: if a source changes its feed URL, stops publishing RSS, or blocks automated requests, that source silently stops contributing listings (logged, not fatal) until src/scholarship_scraper.py's SOURCES list is updated.</w:t>
      </w:r>
    </w:p>
    <w:p>
      <w:pPr>
        <w:pStyle w:val="Heading1"/>
        <w:pBdr>
          <w:bottom w:val="single" w:color="3730A3" w:sz="8" w:space="6"/>
        </w:pBdr>
        <w:spacing w:after="200" w:before="420"/>
      </w:pPr>
      <w:r>
        <w:t xml:space="preserve">12. Pull Request / Git History Log</w:t>
      </w:r>
    </w:p>
    <w:p>
      <w:pPr>
        <w:spacing w:after="160" w:line="300"/>
      </w:pPr>
      <w:r>
        <w:rPr>
          <w:rFonts w:ascii="Calibri" w:cs="Calibri" w:eastAsia="Calibri" w:hAnsi="Calibri"/>
          <w:b w:val="false"/>
          <w:bCs w:val="false"/>
          <w:i w:val="false"/>
          <w:iCs w:val="false"/>
          <w:color w:val="1F2430"/>
          <w:sz w:val="22"/>
          <w:szCs w:val="22"/>
        </w:rPr>
        <w:t xml:space="preserve">All development happened through eight pull requests from the feature branch into main, each reviewed and tested locally before merging. All eight were squash-merged.</w:t>
      </w:r>
    </w:p>
    <w:tbl>
      <w:tblPr>
        <w:tblW w:type="dxa" w:w="9200"/>
        <w:tblBorders>
          <w:top w:val="single" w:color="D8DAE3" w:sz="4"/>
          <w:left w:val="single" w:color="D8DAE3" w:sz="4"/>
          <w:bottom w:val="single" w:color="D8DAE3" w:sz="4"/>
          <w:right w:val="single" w:color="D8DAE3" w:sz="4"/>
          <w:insideH w:val="single" w:color="D8DAE3" w:sz="4"/>
          <w:insideV w:val="single" w:color="D8DAE3" w:sz="4"/>
        </w:tblBorders>
      </w:tblPr>
      <w:tblGrid>
        <w:gridCol w:w="900"/>
        <w:gridCol w:w="3600"/>
        <w:gridCol w:w="4700"/>
      </w:tblGrid>
      <w:tr>
        <w:tc>
          <w:tcPr>
            <w:tcW w:type="dxa" w:w="9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PR</w:t>
            </w:r>
          </w:p>
        </w:tc>
        <w:tc>
          <w:tcPr>
            <w:tcW w:type="dxa" w:w="36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Title</w:t>
            </w:r>
          </w:p>
        </w:tc>
        <w:tc>
          <w:tcPr>
            <w:tcW w:type="dxa" w:w="4700"/>
            <w:shd w:fill="3730A3" w:val="clear"/>
            <w:tcMar>
              <w:top w:type="dxa" w:w="90"/>
              <w:left w:type="dxa" w:w="120"/>
              <w:bottom w:type="dxa" w:w="90"/>
              <w:right w:type="dxa" w:w="120"/>
            </w:tcMar>
            <w:vAlign w:val="center"/>
          </w:tcPr>
          <w:p>
            <w:pPr>
              <w:spacing w:after="0"/>
            </w:pPr>
            <w:r>
              <w:rPr>
                <w:rFonts w:ascii="Calibri" w:cs="Calibri" w:eastAsia="Calibri" w:hAnsi="Calibri"/>
                <w:b/>
                <w:bCs/>
                <w:color w:val="FFFFFF"/>
                <w:sz w:val="20"/>
                <w:szCs w:val="20"/>
              </w:rPr>
              <w:t xml:space="preserve">What It Shipped</w:t>
            </w:r>
          </w:p>
        </w:tc>
      </w:tr>
      <w:tr>
        <w:tc>
          <w:tcPr>
            <w:tcW w:type="dxa" w:w="9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#1</w:t>
            </w:r>
          </w:p>
        </w:tc>
        <w:tc>
          <w:tcPr>
            <w:tcW w:type="dxa" w:w="3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Build ML Scholarship Eligibility Predictor with Flask web UI</w:t>
            </w:r>
          </w:p>
        </w:tc>
        <w:tc>
          <w:tcPr>
            <w:tcW w:type="dxa" w:w="4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Initial working system: synthetic dataset generator, Random Forest pipeline, Flask + Bootstrap web app with form/result/about pages</w:t>
            </w:r>
          </w:p>
        </w:tc>
      </w:tr>
      <w:tr>
        <w:tc>
          <w:tcPr>
            <w:tcW w:type="dxa" w:w="9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#2</w:t>
            </w:r>
          </w:p>
        </w:tc>
        <w:tc>
          <w:tcPr>
            <w:tcW w:type="dxa" w:w="3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Fix Render deploy: pin Python via .python-version instead of runtime.txt</w:t>
            </w:r>
          </w:p>
        </w:tc>
        <w:tc>
          <w:tcPr>
            <w:tcW w:type="dxa" w:w="4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Added Procfile/render.yaml/gunicorn for free hosting; fixed a real build failure by switching Python-version pinning method</w:t>
            </w:r>
          </w:p>
        </w:tc>
      </w:tr>
      <w:tr>
        <w:tc>
          <w:tcPr>
            <w:tcW w:type="dxa" w:w="9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#3</w:t>
            </w:r>
          </w:p>
        </w:tc>
        <w:tc>
          <w:tcPr>
            <w:tcW w:type="dxa" w:w="3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Retrain on real student data instead of synthetic data</w:t>
            </w:r>
          </w:p>
        </w:tc>
        <w:tc>
          <w:tcPr>
            <w:tcW w:type="dxa" w:w="4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Replaced the fabricated dataset with two real datasets (UCI Student Performance + Graduate Admission Prediction reference); rewrote label derivation, model, forms, and About page methodology</w:t>
            </w:r>
          </w:p>
        </w:tc>
      </w:tr>
      <w:tr>
        <w:tc>
          <w:tcPr>
            <w:tcW w:type="dxa" w:w="9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#4</w:t>
            </w:r>
          </w:p>
        </w:tc>
        <w:tc>
          <w:tcPr>
            <w:tcW w:type="dxa" w:w="3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Redesign homepage with a professional, editorial visual identity</w:t>
            </w:r>
          </w:p>
        </w:tc>
        <w:tc>
          <w:tcPr>
            <w:tcW w:type="dxa" w:w="4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Homepage hero, trust-stat row, and 3-step-card form redesign; new typography/color system; drafted via Claude Design then hand-ported into the app</w:t>
            </w:r>
          </w:p>
        </w:tc>
      </w:tr>
      <w:tr>
        <w:tc>
          <w:tcPr>
            <w:tcW w:type="dxa" w:w="9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#5</w:t>
            </w:r>
          </w:p>
        </w:tc>
        <w:tc>
          <w:tcPr>
            <w:tcW w:type="dxa" w:w="3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Add full project documentation as a Word document</w:t>
            </w:r>
          </w:p>
        </w:tc>
        <w:tc>
          <w:tcPr>
            <w:tcW w:type="dxa" w:w="4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Added this comprehensive .docx report covering the full build, tech stack, and development process, for external documentation/presentation use</w:t>
            </w:r>
          </w:p>
        </w:tc>
      </w:tr>
      <w:tr>
        <w:tc>
          <w:tcPr>
            <w:tcW w:type="dxa" w:w="9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#6</w:t>
            </w:r>
          </w:p>
        </w:tc>
        <w:tc>
          <w:tcPr>
            <w:tcW w:type="dxa" w:w="3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Add live scholarship opportunities page with search/filters</w:t>
            </w:r>
          </w:p>
        </w:tc>
        <w:tc>
          <w:tcPr>
            <w:tcW w:type="dxa" w:w="4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New /opportunities page: RSS-based scraper, 12-hour cache, server-side search/level/region/funded filters, graceful failure handling</w:t>
            </w:r>
          </w:p>
        </w:tc>
      </w:tr>
      <w:tr>
        <w:tc>
          <w:tcPr>
            <w:tcW w:type="dxa" w:w="9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#7</w:t>
            </w:r>
          </w:p>
        </w:tc>
        <w:tc>
          <w:tcPr>
            <w:tcW w:type="dxa" w:w="36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Improve opportunities scraper diagnostics and swap dead source</w:t>
            </w:r>
          </w:p>
        </w:tc>
        <w:tc>
          <w:tcPr>
            <w:tcW w:type="dxa" w:w="4700"/>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Dropped a source genuinely blocked by robots.txt, added two replacement candidates, added detailed per-source diagnostic logging, switched to a browser User-Agent</w:t>
            </w:r>
          </w:p>
        </w:tc>
      </w:tr>
      <w:tr>
        <w:tc>
          <w:tcPr>
            <w:tcW w:type="dxa" w:w="9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#8</w:t>
            </w:r>
          </w:p>
        </w:tc>
        <w:tc>
          <w:tcPr>
            <w:tcW w:type="dxa" w:w="36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Stop gating RSS feed fetches on robots.txt</w:t>
            </w:r>
          </w:p>
        </w:tc>
        <w:tc>
          <w:tcPr>
            <w:tcW w:type="dxa" w:w="4700"/>
            <w:shd w:fill="F7F7FA" w:val="clear"/>
            <w:tcMar>
              <w:top w:type="dxa" w:w="90"/>
              <w:left w:type="dxa" w:w="120"/>
              <w:bottom w:type="dxa" w:w="90"/>
              <w:right w:type="dxa" w:w="120"/>
            </w:tcMar>
            <w:vAlign w:val="center"/>
          </w:tcPr>
          <w:p>
            <w:pPr>
              <w:spacing w:after="0"/>
            </w:pPr>
            <w:r>
              <w:rPr>
                <w:rFonts w:ascii="Calibri" w:cs="Calibri" w:eastAsia="Calibri" w:hAnsi="Calibri"/>
                <w:b w:val="false"/>
                <w:bCs w:val="false"/>
                <w:color w:val="1F2430"/>
                <w:sz w:val="20"/>
                <w:szCs w:val="20"/>
              </w:rPr>
              <w:t xml:space="preserve">Removed an over-broad robots.txt check that was wrongly blocking legitimate feed sources; restored the source dropped in PR #7 for that same reason; added raw-response diagnostics for empty feeds</w:t>
            </w:r>
          </w:p>
        </w:tc>
      </w:tr>
    </w:tbl>
    <w:p>
      <w:pPr>
        <w:pStyle w:val="Heading1"/>
        <w:pBdr>
          <w:bottom w:val="single" w:color="3730A3" w:sz="8" w:space="6"/>
        </w:pBdr>
        <w:spacing w:after="200" w:before="420"/>
      </w:pPr>
      <w:r>
        <w:t xml:space="preserve">13. Key Links</w:t>
      </w:r>
    </w:p>
    <w:p>
      <w:pPr>
        <w:spacing w:after="160" w:line="300"/>
      </w:pPr>
      <w:r>
        <w:rPr>
          <w:rFonts w:ascii="Calibri" w:cs="Calibri" w:eastAsia="Calibri" w:hAnsi="Calibri"/>
          <w:b/>
          <w:bCs/>
          <w:i w:val="false"/>
          <w:iCs w:val="false"/>
          <w:color w:val="1F2430"/>
          <w:sz w:val="22"/>
          <w:szCs w:val="22"/>
        </w:rPr>
        <w:t xml:space="preserve">GitHub repository: </w:t>
      </w:r>
      <w:hyperlink w:history="1" r:id="rIdhpkcpxf289sbsau8almko">
        <w:r>
          <w:rPr>
            <w:rFonts w:ascii="Calibri" w:cs="Calibri" w:eastAsia="Calibri" w:hAnsi="Calibri"/>
            <w:color w:val="1155CC"/>
            <w:sz w:val="22"/>
            <w:szCs w:val="22"/>
            <w:u w:val="single"/>
          </w:rPr>
          <w:t xml:space="preserve">github.com/Tobinioluwa/ML-Scholarship-Eligibility-Predictor</w:t>
        </w:r>
      </w:hyperlink>
    </w:p>
    <w:p>
      <w:pPr>
        <w:spacing w:after="160" w:line="300"/>
      </w:pPr>
      <w:r>
        <w:rPr>
          <w:rFonts w:ascii="Calibri" w:cs="Calibri" w:eastAsia="Calibri" w:hAnsi="Calibri"/>
          <w:b/>
          <w:bCs/>
          <w:i w:val="false"/>
          <w:iCs w:val="false"/>
          <w:color w:val="1F2430"/>
          <w:sz w:val="22"/>
          <w:szCs w:val="22"/>
        </w:rPr>
        <w:t xml:space="preserve">Homepage design canvas (Claude Design mockup): </w:t>
      </w:r>
      <w:hyperlink w:history="1" r:id="rIdq_cjrzby1yvojznntwdpz">
        <w:r>
          <w:rPr>
            <w:rFonts w:ascii="Calibri" w:cs="Calibri" w:eastAsia="Calibri" w:hAnsi="Calibri"/>
            <w:color w:val="1155CC"/>
            <w:sz w:val="22"/>
            <w:szCs w:val="22"/>
            <w:u w:val="single"/>
          </w:rPr>
          <w:t xml:space="preserve">claude.ai/code/artifact/a7255954-db38-43f1-a980-712365d97fac</w:t>
        </w:r>
      </w:hyperlink>
    </w:p>
    <w:p>
      <w:pPr>
        <w:spacing w:after="160" w:line="300"/>
      </w:pPr>
      <w:r>
        <w:rPr>
          <w:rFonts w:ascii="Calibri" w:cs="Calibri" w:eastAsia="Calibri" w:hAnsi="Calibri"/>
          <w:b/>
          <w:bCs/>
          <w:i w:val="false"/>
          <w:iCs w:val="false"/>
          <w:color w:val="1F2430"/>
          <w:sz w:val="22"/>
          <w:szCs w:val="22"/>
        </w:rPr>
        <w:t xml:space="preserve">UCI Student Performance dataset: </w:t>
      </w:r>
      <w:hyperlink w:history="1" r:id="rIdwvo5gqdprc6ufakwymrew">
        <w:r>
          <w:rPr>
            <w:rFonts w:ascii="Calibri" w:cs="Calibri" w:eastAsia="Calibri" w:hAnsi="Calibri"/>
            <w:color w:val="1155CC"/>
            <w:sz w:val="22"/>
            <w:szCs w:val="22"/>
            <w:u w:val="single"/>
          </w:rPr>
          <w:t xml:space="preserve">archive.ics.uci.edu/dataset/320/student+performance</w:t>
        </w:r>
      </w:hyperlink>
    </w:p>
    <w:p>
      <w:pPr>
        <w:spacing w:after="160" w:line="300"/>
      </w:pPr>
      <w:r>
        <w:rPr>
          <w:rFonts w:ascii="Calibri" w:cs="Calibri" w:eastAsia="Calibri" w:hAnsi="Calibri"/>
          <w:b/>
          <w:bCs/>
          <w:i w:val="false"/>
          <w:iCs w:val="false"/>
          <w:color w:val="1F2430"/>
          <w:sz w:val="22"/>
          <w:szCs w:val="22"/>
        </w:rPr>
        <w:t xml:space="preserve">Graduate Admission Prediction dataset: </w:t>
      </w:r>
      <w:hyperlink w:history="1" r:id="rIdiuqhts5pbqodthbcnlq-n">
        <w:r>
          <w:rPr>
            <w:rFonts w:ascii="Calibri" w:cs="Calibri" w:eastAsia="Calibri" w:hAnsi="Calibri"/>
            <w:color w:val="1155CC"/>
            <w:sz w:val="22"/>
            <w:szCs w:val="22"/>
            <w:u w:val="single"/>
          </w:rPr>
          <w:t xml:space="preserve">kaggle.com/datasets/mohansacharya/graduate-admissions</w:t>
        </w:r>
      </w:hyperlink>
    </w:p>
    <w:p>
      <w:pPr>
        <w:spacing w:after="160" w:line="300"/>
      </w:pPr>
      <w:r>
        <w:rPr>
          <w:rFonts w:ascii="Calibri" w:cs="Calibri" w:eastAsia="Calibri" w:hAnsi="Calibri"/>
          <w:b/>
          <w:bCs/>
          <w:i w:val="false"/>
          <w:iCs w:val="false"/>
          <w:color w:val="1F2430"/>
          <w:sz w:val="22"/>
          <w:szCs w:val="22"/>
        </w:rPr>
        <w:t xml:space="preserve">Opportunities feed sources: </w:t>
      </w:r>
      <w:r>
        <w:rPr>
          <w:rFonts w:ascii="Calibri" w:cs="Calibri" w:eastAsia="Calibri" w:hAnsi="Calibri"/>
          <w:b w:val="false"/>
          <w:bCs w:val="false"/>
          <w:i w:val="false"/>
          <w:iCs w:val="false"/>
          <w:color w:val="1F2430"/>
          <w:sz w:val="22"/>
          <w:szCs w:val="22"/>
        </w:rPr>
        <w:t xml:space="preserve">scholars4dev.com, opportunitiesforafricans.com, youthop.com, opportunitydesk.org (each site's own /feed/ RSS endpoint)</w:t>
      </w:r>
    </w:p>
    <w:p>
      <w:pPr>
        <w:spacing w:after="160" w:line="300"/>
      </w:pPr>
      <w:r>
        <w:rPr>
          <w:rFonts w:ascii="Calibri" w:cs="Calibri" w:eastAsia="Calibri" w:hAnsi="Calibri"/>
          <w:b w:val="false"/>
          <w:bCs w:val="false"/>
          <w:i w:val="false"/>
          <w:iCs w:val="false"/>
          <w:color w:val="1F2430"/>
          <w:sz w:val="22"/>
          <w:szCs w:val="22"/>
        </w:rPr>
        <w:t xml:space="preserve">Live deployment: hosted on the user's own Render.com free-tier web service (deployed and managed directly by the project owner; the URL depends on the service name chosen at deploy time).</w:t>
      </w:r>
    </w:p>
    <w:p>
      <w:pPr>
        <w:pBdr>
          <w:bottom w:val="single" w:color="D8DAE3" w:sz="6" w:space="1"/>
        </w:pBdr>
        <w:spacing w:after="200" w:before="100"/>
      </w:pPr>
      <w:r>
        <w:t xml:space="preserve"/>
      </w:r>
    </w:p>
    <w:p>
      <w:pPr>
        <w:spacing w:before="300"/>
      </w:pPr>
      <w:r>
        <w:rPr>
          <w:i/>
          <w:iCs/>
          <w:color w:val="5B6270"/>
          <w:sz w:val="20"/>
          <w:szCs w:val="20"/>
        </w:rPr>
        <w:t xml:space="preserve">End of document.</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Page </w:t>
    </w:r>
    <w:r>
      <w:rPr>
        <w:color w:val="5B6270"/>
        <w:sz w:val="16"/>
        <w:szCs w:val="16"/>
      </w:rPr>
      <w:fldChar w:fldCharType="begin"/>
      <w:instrText xml:space="preserve">PAGE</w:instrText>
      <w:fldChar w:fldCharType="separate"/>
      <w:fldChar w:fldCharType="end"/>
    </w:r>
    <w:r>
      <w:rPr>
        <w:color w:val="5B6270"/>
        <w:sz w:val="16"/>
        <w:szCs w:val="16"/>
      </w:rPr>
      <w:t xml:space="preserve"> of </w:t>
    </w:r>
    <w:r>
      <w:rPr>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270"/>
        <w:sz w:val="16"/>
        <w:szCs w:val="16"/>
      </w:rPr>
      <w:t xml:space="preserve">ML Scholarship Eligibility Predictor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3730A3"/>
      <w:sz w:val="34"/>
      <w:szCs w:val="34"/>
    </w:rPr>
  </w:style>
  <w:style w:type="paragraph" w:styleId="Heading2">
    <w:name w:val="Heading 2"/>
    <w:basedOn w:val="Normal"/>
    <w:next w:val="Normal"/>
    <w:qFormat/>
    <w:pPr>
      <w:spacing w:after="140" w:before="280"/>
    </w:pPr>
    <w:rPr>
      <w:rFonts w:ascii="Calibri" w:cs="Calibri" w:eastAsia="Calibri" w:hAnsi="Calibri"/>
      <w:b/>
      <w:bCs/>
      <w:color w:val="1F2430"/>
      <w:sz w:val="27"/>
      <w:szCs w:val="27"/>
    </w:rPr>
  </w:style>
  <w:style w:type="paragraph" w:styleId="Heading3">
    <w:name w:val="Heading 3"/>
    <w:basedOn w:val="Normal"/>
    <w:next w:val="Normal"/>
    <w:qFormat/>
    <w:pPr>
      <w:spacing w:after="100" w:before="200"/>
    </w:pPr>
    <w:rPr>
      <w:rFonts w:ascii="Calibri" w:cs="Calibri" w:eastAsia="Calibri" w:hAnsi="Calibri"/>
      <w:b/>
      <w:bCs/>
      <w:i/>
      <w:iCs/>
      <w:color w:val="B4530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ufvax2r2dv8ctzqrrgnz" Type="http://schemas.openxmlformats.org/officeDocument/2006/relationships/hyperlink" Target="https://github.com/Tobinioluwa/ML-Scholarship-Eligibility-Predictor" TargetMode="External"/><Relationship Id="rIde2xxmwd5s1yiezrsj3kis" Type="http://schemas.openxmlformats.org/officeDocument/2006/relationships/hyperlink" Target="https://github.com/Tobinioluwa/ML-Scholarship-Eligibility-Predictor" TargetMode="External"/><Relationship Id="rIdyhtpu8cj_mcgkc8jghwi6" Type="http://schemas.openxmlformats.org/officeDocument/2006/relationships/hyperlink" Target="https://claude.ai/code/artifact/a7255954-db38-43f1-a980-712365d97fac" TargetMode="External"/><Relationship Id="rIdhpkcpxf289sbsau8almko" Type="http://schemas.openxmlformats.org/officeDocument/2006/relationships/hyperlink" Target="https://github.com/Tobinioluwa/ML-Scholarship-Eligibility-Predictor" TargetMode="External"/><Relationship Id="rIdq_cjrzby1yvojznntwdpz" Type="http://schemas.openxmlformats.org/officeDocument/2006/relationships/hyperlink" Target="https://claude.ai/code/artifact/a7255954-db38-43f1-a980-712365d97fac" TargetMode="External"/><Relationship Id="rIdwvo5gqdprc6ufakwymrew" Type="http://schemas.openxmlformats.org/officeDocument/2006/relationships/hyperlink" Target="https://archive.ics.uci.edu/dataset/320/student+performance" TargetMode="External"/><Relationship Id="rIdiuqhts5pbqodthbcnlq-n" Type="http://schemas.openxmlformats.org/officeDocument/2006/relationships/hyperlink" Target="https://www.kaggle.com/datasets/mohansacharya/graduate-admission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2026-09-09T02:54:29.648Z</dcterms:created>
  <dcterms:modified xsi:type="dcterms:W3CDTF">2026-09-09T02:54:29.661Z</dcterms:modified>
</cp:coreProperties>
</file>

<file path=docProps/custom.xml><?xml version="1.0" encoding="utf-8"?>
<Properties xmlns="http://schemas.openxmlformats.org/officeDocument/2006/custom-properties" xmlns:vt="http://schemas.openxmlformats.org/officeDocument/2006/docPropsVTypes"/>
</file>