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LCA at Tallgrass: One-Page Brief</w:t>
      </w:r>
    </w:p>
    <w:bookmarkStart w:id="17" w:name="lca-at-tallgrass-one-page-brief"/>
    <w:p>
      <w:pPr>
        <w:pStyle w:val="Heading1"/>
      </w:pPr>
      <w:r>
        <w:t xml:space="preserve">LCA at Tallgrass: One-Page Brief</w:t>
      </w:r>
    </w:p>
    <w:p>
      <w:pPr>
        <w:pStyle w:val="FirstParagraph"/>
      </w:pPr>
      <w:r>
        <w:t xml:space="preserve">Oct 2, 2026 · Andrew Gibson</w:t>
      </w:r>
    </w:p>
    <w:bookmarkStart w:id="9" w:name="how-an-lca-works"/>
    <w:p>
      <w:pPr>
        <w:pStyle w:val="Heading2"/>
      </w:pPr>
      <w:r>
        <w:t xml:space="preserve">How an LCA works</w:t>
      </w:r>
    </w:p>
    <w:p>
      <w:pPr>
        <w:pStyle w:val="FirstParagraph"/>
      </w:pPr>
      <w:r>
        <w:t xml:space="preserve">An LCA counts every greenhouse gas emitted and removed over a product's life. For Trailblazer, it sets the carbon intensity (CI) that scales 45Z and clean fuel credits, and the removal-credit yield. Four phases (ISO 14040/44):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 and scope:</w:t>
      </w:r>
      <w:r>
        <w:t xml:space="preserve"> </w:t>
      </w:r>
      <w:r>
        <w:t xml:space="preserve">what unit, which boundaries (corn field to Wyoming storage).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Inventory:</w:t>
      </w:r>
      <w:r>
        <w:t xml:space="preserve"> </w:t>
      </w:r>
      <w:r>
        <w:t xml:space="preserve">every input and output, from fertilizer to pipeline power.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convert every flow to CO2-equivalent and total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test what drives the answer (land use, grid power, leakage).</w:t>
      </w:r>
    </w:p>
    <w:bookmarkEnd w:id="9"/>
    <w:bookmarkStart w:id="10" w:name="the-programs-trailblazer-can-use"/>
    <w:p>
      <w:pPr>
        <w:pStyle w:val="Heading2"/>
      </w:pPr>
      <w:r>
        <w:t xml:space="preserve">The programs Trailblazer can 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Pays per</w:t>
            </w:r>
          </w:p>
        </w:tc>
        <w:tc>
          <w:tcPr/>
          <w:p>
            <w:pPr>
              <w:pStyle w:val="Compact"/>
            </w:pPr>
            <w:r>
              <w:t xml:space="preserve">Land-use charge (iLUC)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Market and 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45Z</w:t>
            </w:r>
          </w:p>
        </w:tc>
        <w:tc>
          <w:tcPr/>
          <w:p>
            <w:pPr>
              <w:pStyle w:val="Compact"/>
            </w:pPr>
            <w:r>
              <w:t xml:space="preserve">Gallon, scaled by fuel CI</w:t>
            </w:r>
          </w:p>
        </w:tc>
        <w:tc>
          <w:tcPr/>
          <w:p>
            <w:pPr>
              <w:pStyle w:val="Compact"/>
            </w:pPr>
            <w:r>
              <w:t xml:space="preserve">Excluded for fuel made after 2025</w:t>
            </w:r>
          </w:p>
        </w:tc>
        <w:tc>
          <w:tcPr/>
          <w:p>
            <w:pPr>
              <w:pStyle w:val="Compact"/>
            </w:pPr>
            <w:r>
              <w:t xml:space="preserve">~$195–260 per tonne captured (est.)</w:t>
            </w:r>
          </w:p>
        </w:tc>
        <w:tc>
          <w:tcPr/>
          <w:p>
            <w:pPr>
              <w:pStyle w:val="Compact"/>
            </w:pPr>
            <w:r>
              <w:t xml:space="preserve">$12.5B (FY2026, all fuels); ends Dec 31, 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45Q</w:t>
            </w:r>
          </w:p>
        </w:tc>
        <w:tc>
          <w:tcPr/>
          <w:p>
            <w:pPr>
              <w:pStyle w:val="Compact"/>
            </w:pPr>
            <w:r>
              <w:t xml:space="preserve">Tonne stored</w:t>
            </w:r>
          </w:p>
        </w:tc>
        <w:tc>
          <w:tcPr/>
          <w:p>
            <w:pPr>
              <w:pStyle w:val="Compact"/>
            </w:pPr>
            <w:r>
              <w:t xml:space="preserve">Not counted</w:t>
            </w:r>
          </w:p>
        </w:tc>
        <w:tc>
          <w:tcPr/>
          <w:p>
            <w:pPr>
              <w:pStyle w:val="Compact"/>
            </w:pPr>
            <w:r>
              <w:t xml:space="preserve">$85 per tonne</w:t>
            </w:r>
          </w:p>
        </w:tc>
        <w:tc>
          <w:tcPr/>
          <w:p>
            <w:pPr>
              <w:pStyle w:val="Compact"/>
            </w:pPr>
            <w:r>
              <w:t xml:space="preserve">$1.0B in FY2026, rising to $5.9B by FY2035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fuel (CA, OR, WA)</w:t>
            </w:r>
          </w:p>
        </w:tc>
        <w:tc>
          <w:tcPr/>
          <w:p>
            <w:pPr>
              <w:pStyle w:val="Compact"/>
            </w:pPr>
            <w:r>
              <w:t xml:space="preserve">Tonne CO2e below the CI standard</w:t>
            </w:r>
          </w:p>
        </w:tc>
        <w:tc>
          <w:tcPr/>
          <w:p>
            <w:pPr>
              <w:pStyle w:val="Compact"/>
            </w:pPr>
            <w:r>
              <w:t xml:space="preserve">Included in CA</w:t>
            </w:r>
          </w:p>
        </w:tc>
        <w:tc>
          <w:tcPr/>
          <w:p>
            <w:pPr>
              <w:pStyle w:val="Compact"/>
            </w:pPr>
            <w:r>
              <w:t xml:space="preserve">$80–87 per credit (Sep 30, 2026)</w:t>
            </w:r>
          </w:p>
        </w:tc>
        <w:tc>
          <w:tcPr/>
          <w:p>
            <w:pPr>
              <w:pStyle w:val="Compact"/>
            </w:pPr>
            <w:r>
              <w:t xml:space="preserve">CA ~$190 (2019), ~$60 (2025); needs a CCS pathway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Removal credits (Puro)</w:t>
            </w:r>
          </w:p>
        </w:tc>
        <w:tc>
          <w:tcPr/>
          <w:p>
            <w:pPr>
              <w:pStyle w:val="Compact"/>
            </w:pPr>
            <w:r>
              <w:t xml:space="preserve">Net tonne removed</w:t>
            </w:r>
          </w:p>
        </w:tc>
        <w:tc>
          <w:tcPr/>
          <w:p>
            <w:pPr>
              <w:pStyle w:val="Compact"/>
            </w:pPr>
            <w:r>
              <w:t xml:space="preserve">Charged; about half of each captured tonne (est.)</w:t>
            </w:r>
          </w:p>
        </w:tc>
        <w:tc>
          <w:tcPr/>
          <w:p>
            <w:pPr>
              <w:pStyle w:val="Compact"/>
            </w:pPr>
            <w:r>
              <w:t xml:space="preserve">$100–200 per credit (est.)</w:t>
            </w:r>
          </w:p>
        </w:tc>
        <w:tc>
          <w:tcPr/>
          <w:p>
            <w:pPr>
              <w:pStyle w:val="Compact"/>
            </w:pPr>
            <w:r>
              <w:t xml:space="preserve">30.4 Mt contracted in 2025, ~90% by Microsoft</w:t>
            </w:r>
          </w:p>
        </w:tc>
      </w:tr>
    </w:tbl>
    <w:p>
      <w:pPr>
        <w:pStyle w:val="BodyText"/>
      </w:pPr>
      <w:r>
        <w:t xml:space="preserve">A plant claims 45Z or 45Q in a year, never both. Puro bars reusing a removal in other environmental products, so a tonne earns clean fuel or removal credits, not both. iLUC: carbon released when corn for fuel pushes farming onto new land.</w:t>
      </w:r>
    </w:p>
    <w:bookmarkEnd w:id="10"/>
    <w:bookmarkStart w:id="11" w:name="cap-and-trade-a-market-to-shape"/>
    <w:p>
      <w:pPr>
        <w:pStyle w:val="Heading2"/>
      </w:pPr>
      <w:r>
        <w:t xml:space="preserve">Cap-and-trade: a market to shape</w:t>
      </w:r>
    </w:p>
    <w:p>
      <w:pPr>
        <w:pStyle w:val="FirstParagraph"/>
      </w:pPr>
      <w:r>
        <w:t xml:space="preserve">Cap-and-trade is spreading. California's program (linked with Quebec) runs to 2045; Washington signed to join in June 2026, with a joint market expected in 2027. None of these, nor RGGI, credits CO2 stored in Wyoming.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Most realistic:</w:t>
      </w:r>
      <w:r>
        <w:t xml:space="preserve"> </w:t>
      </w:r>
      <w:r>
        <w:t xml:space="preserve">California's SB 840 requires CARB to consider carbon removal offset protocols by 2029. Push for one that accepts out-of-state Class VI storage.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 shot:</w:t>
      </w:r>
      <w:r>
        <w:t xml:space="preserve"> </w:t>
      </w:r>
      <w:r>
        <w:t xml:space="preserve">a Wyoming or Nebraska program. Wyoming lawmakers tried to repeal even a CCS study mandate in 2026.</w:t>
      </w:r>
    </w:p>
    <w:bookmarkEnd w:id="11"/>
    <w:bookmarkStart w:id="15" w:name="where-tallgrass-sits"/>
    <w:p>
      <w:pPr>
        <w:pStyle w:val="Heading2"/>
      </w:pPr>
      <w:r>
        <w:t xml:space="preserve">Where Tallgrass sits</w:t>
      </w:r>
    </w:p>
    <w:p>
      <w:pPr>
        <w:pStyle w:val="FirstParagraph"/>
      </w:pPr>
      <w:r>
        <w:drawing>
          <wp:inline>
            <wp:extent cx="5334000" cy="175460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iag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how-tallgrass-applies-it"/>
    <w:p>
      <w:pPr>
        <w:pStyle w:val="Heading2"/>
      </w:pPr>
      <w:r>
        <w:t xml:space="preserve">How Tallgrass applies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 the storage-stage LCA:</w:t>
      </w:r>
      <w:r>
        <w:t xml:space="preserve"> </w:t>
      </w:r>
      <w:r>
        <w:t xml:space="preserve">one audited data package that all 12 shippers can cite, for a fee or revenue share.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Grade shippers' tonnes by full LCA:</w:t>
      </w:r>
      <w:r>
        <w:t xml:space="preserve"> </w:t>
      </w:r>
      <w:r>
        <w:t xml:space="preserve">premium tonnes to strict buyers like Microsoft, the rest to spot.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 new CO2 sources:</w:t>
      </w:r>
      <w:r>
        <w:t xml:space="preserve"> </w:t>
      </w:r>
      <w:r>
        <w:t xml:space="preserve">coal earns only 45Q ($85/t) against capture costs of ~$60–100/t (industry estimates); it fits only as take-or-pay volume.</w:t>
      </w:r>
    </w:p>
    <w:p>
      <w:pPr>
        <w:pStyle w:val="FirstParagraph"/>
      </w:pPr>
      <w:r>
        <w:t xml:space="preserve">Sources: Treasury Tax Expenditures FY2027; FuSE prices (Sep 30, 2026); CDR.fyi; Puro GSC 2024 v.5; ICAP; WA Ecology. ~ or est. = estimate.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LCA at Tallgrass: One-Page Brief</dc:title>
  <dc:creator/>
  <cp:keywords/>
  <dcterms:created xsi:type="dcterms:W3CDTF">2026-10-02T06:27:34Z</dcterms:created>
  <dcterms:modified xsi:type="dcterms:W3CDTF">2026-10-02T06:27:34Z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