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tallgrass-third-round-interview-prep"/>
    <w:p>
      <w:pPr>
        <w:pStyle w:val="Heading1"/>
      </w:pPr>
      <w:r>
        <w:t xml:space="preserve">Tallgrass Third-Round Interview Prep</w:t>
      </w:r>
    </w:p>
    <w:p>
      <w:pPr>
        <w:pStyle w:val="FirstParagraph"/>
      </w:pPr>
      <w:r>
        <w:t xml:space="preserve">Oct 2, 2026 · Andrew Gibson</w:t>
      </w:r>
    </w:p>
    <w:bookmarkStart w:id="9" w:name="whos-in-the-room"/>
    <w:p>
      <w:pPr>
        <w:pStyle w:val="Heading2"/>
      </w:pPr>
      <w:r>
        <w:t xml:space="preserve">Who’s in the room</w:t>
      </w:r>
    </w:p>
    <w:p>
      <w:pPr>
        <w:pStyle w:val="FirstParagraph"/>
      </w:pPr>
      <w:r>
        <w:t xml:space="preserve">Two people are new to you:</w:t>
      </w:r>
      <w:r>
        <w:t xml:space="preserve"> </w:t>
      </w:r>
      <w:r>
        <w:rPr>
          <w:b/>
          <w:bCs/>
        </w:rPr>
        <w:t xml:space="preserve">Matt Kegg</w:t>
      </w:r>
      <w:r>
        <w:t xml:space="preserve">, who likely makes the final call, and</w:t>
      </w:r>
      <w:r>
        <w:t xml:space="preserve"> </w:t>
      </w:r>
      <w:r>
        <w:rPr>
          <w:b/>
          <w:bCs/>
        </w:rPr>
        <w:t xml:space="preserve">JC Chambers</w:t>
      </w:r>
      <w:r>
        <w:t xml:space="preserve">, the deepest credits expert at the table. Pitch to Matt’s business lens and ask JC questions rather than lecture him.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w:t>
            </w:r>
          </w:p>
        </w:tc>
        <w:tc>
          <w:tcPr/>
          <w:p>
            <w:pPr>
              <w:pStyle w:val="Compact"/>
            </w:pPr>
            <w:r>
              <w:t xml:space="preserve">Role and background</w:t>
            </w:r>
          </w:p>
        </w:tc>
        <w:tc>
          <w:tcPr/>
          <w:p>
            <w:pPr>
              <w:pStyle w:val="Compact"/>
            </w:pPr>
            <w:r>
              <w:t xml:space="preserve">What they likely care about</w:t>
            </w:r>
          </w:p>
        </w:tc>
        <w:tc>
          <w:tcPr/>
          <w:p>
            <w:pPr>
              <w:pStyle w:val="Compact"/>
            </w:pPr>
            <w:r>
              <w:t xml:space="preserve">How to play it</w:t>
            </w:r>
          </w:p>
        </w:tc>
      </w:tr>
      <w:tr>
        <w:tc>
          <w:tcPr/>
          <w:p>
            <w:pPr>
              <w:pStyle w:val="Compact"/>
            </w:pPr>
            <w:r>
              <w:rPr>
                <w:b/>
                <w:bCs/>
              </w:rPr>
              <w:t xml:space="preserve">Matt Kegg</w:t>
            </w:r>
            <w:r>
              <w:t xml:space="preserve"> </w:t>
            </w:r>
            <w:r>
              <w:t xml:space="preserve">(new)</w:t>
            </w:r>
          </w:p>
        </w:tc>
        <w:tc>
          <w:tcPr/>
          <w:p>
            <w:pPr>
              <w:pStyle w:val="Compact"/>
            </w:pPr>
            <w:r>
              <w:t xml:space="preserve">Segment President and SVP since June 2026, over crude oil, CO2, and natural gas gathering and processing. Before that: Tallgrass Midstream, Terminals; Phillips 66 business development and strategy; civil engineer, Rice MBA</w:t>
            </w:r>
          </w:p>
        </w:tc>
        <w:tc>
          <w:tcPr/>
          <w:p>
            <w:pPr>
              <w:pStyle w:val="Compact"/>
            </w:pPr>
            <w:r>
              <w:t xml:space="preserve">Volume, contracts, EBITDA, and where CO2 earns capital against crude and gas in his segment</w:t>
            </w:r>
          </w:p>
        </w:tc>
        <w:tc>
          <w:tcPr/>
          <w:p>
            <w:pPr>
              <w:pStyle w:val="Compact"/>
            </w:pPr>
            <w:r>
              <w:t xml:space="preserve">Talk in tariffs, utilization and contracted revenue, not credit prices</w:t>
            </w:r>
          </w:p>
        </w:tc>
      </w:tr>
      <w:tr>
        <w:tc>
          <w:tcPr/>
          <w:p>
            <w:pPr>
              <w:pStyle w:val="Compact"/>
            </w:pPr>
            <w:r>
              <w:rPr>
                <w:b/>
                <w:bCs/>
              </w:rPr>
              <w:t xml:space="preserve">JC Chambers</w:t>
            </w:r>
            <w:r>
              <w:t xml:space="preserve"> </w:t>
            </w:r>
            <w:r>
              <w:t xml:space="preserve">(new)</w:t>
            </w:r>
          </w:p>
        </w:tc>
        <w:tc>
          <w:tcPr/>
          <w:p>
            <w:pPr>
              <w:pStyle w:val="Compact"/>
            </w:pPr>
            <w:r>
              <w:t xml:space="preserve">Senior Director, Business Development CO2 since May 2023. At DCP Midstream: claimed 45Q worth more than $15MM a year from five Class II wells, negotiated a carbon capture deal (+10% EBITDA), worked on LCFS and voluntary credits</w:t>
            </w:r>
          </w:p>
        </w:tc>
        <w:tc>
          <w:tcPr/>
          <w:p>
            <w:pPr>
              <w:pStyle w:val="Compact"/>
            </w:pPr>
            <w:r>
              <w:t xml:space="preserve">Credit monetization in practice; he has done it</w:t>
            </w:r>
          </w:p>
        </w:tc>
        <w:tc>
          <w:tcPr/>
          <w:p>
            <w:pPr>
              <w:pStyle w:val="Compact"/>
            </w:pPr>
            <w:r>
              <w:t xml:space="preserve">Ask, don’t teach. Your numbers must hold up under his scrutiny</w:t>
            </w:r>
          </w:p>
        </w:tc>
      </w:tr>
      <w:tr>
        <w:tc>
          <w:tcPr/>
          <w:p>
            <w:pPr>
              <w:pStyle w:val="Compact"/>
            </w:pPr>
            <w:r>
              <w:rPr>
                <w:b/>
                <w:bCs/>
              </w:rPr>
              <w:t xml:space="preserve">Kyle Manley</w:t>
            </w:r>
            <w:r>
              <w:t xml:space="preserve"> </w:t>
            </w:r>
            <w:r>
              <w:t xml:space="preserve">(met)</w:t>
            </w:r>
          </w:p>
        </w:tc>
        <w:tc>
          <w:tcPr/>
          <w:p>
            <w:pPr>
              <w:pStyle w:val="Compact"/>
            </w:pPr>
            <w:r>
              <w:t xml:space="preserve">Senior Director, Business Development (decarbonization, clean fuels), Houston. Ex-ExxonMobil infrastructure lead for its Houston CCS hub; CGG carbon and hydrogen storage</w:t>
            </w:r>
          </w:p>
        </w:tc>
        <w:tc>
          <w:tcPr/>
          <w:p>
            <w:pPr>
              <w:pStyle w:val="Compact"/>
            </w:pPr>
            <w:r>
              <w:t xml:space="preserve">New projects beyond Trailblazer: CCS, hydrogen, SAF</w:t>
            </w:r>
          </w:p>
        </w:tc>
        <w:tc>
          <w:tcPr/>
          <w:p>
            <w:pPr>
              <w:pStyle w:val="Compact"/>
            </w:pPr>
            <w:r>
              <w:t xml:space="preserve">Follow up on your last conversation; show range beyond BECCS</w:t>
            </w:r>
          </w:p>
        </w:tc>
      </w:tr>
      <w:tr>
        <w:tc>
          <w:tcPr/>
          <w:p>
            <w:pPr>
              <w:pStyle w:val="Compact"/>
            </w:pPr>
            <w:r>
              <w:rPr>
                <w:b/>
                <w:bCs/>
              </w:rPr>
              <w:t xml:space="preserve">Jeff Schaefer</w:t>
            </w:r>
            <w:r>
              <w:t xml:space="preserve"> </w:t>
            </w:r>
            <w:r>
              <w:t xml:space="preserve">(met)</w:t>
            </w:r>
          </w:p>
        </w:tc>
        <w:tc>
          <w:tcPr/>
          <w:p>
            <w:pPr>
              <w:pStyle w:val="Compact"/>
            </w:pPr>
            <w:r>
              <w:t xml:space="preserve">Senior Director, Origination (decarbonization). 13+ years at Tallgrass, former project manager; Mines mechanical engineer; Encana</w:t>
            </w:r>
          </w:p>
        </w:tc>
        <w:tc>
          <w:tcPr/>
          <w:p>
            <w:pPr>
              <w:pStyle w:val="Compact"/>
            </w:pPr>
            <w:r>
              <w:t xml:space="preserve">Finding and signing new CO2 sources; what makes a project buildable</w:t>
            </w:r>
          </w:p>
        </w:tc>
        <w:tc>
          <w:tcPr/>
          <w:p>
            <w:pPr>
              <w:pStyle w:val="Compact"/>
            </w:pPr>
            <w:r>
              <w:t xml:space="preserve">Talk about sourcing new shippers and screening them</w:t>
            </w:r>
          </w:p>
        </w:tc>
      </w:tr>
      <w:tr>
        <w:tc>
          <w:tcPr/>
          <w:p>
            <w:pPr>
              <w:pStyle w:val="Compact"/>
            </w:pPr>
            <w:r>
              <w:rPr>
                <w:b/>
                <w:bCs/>
              </w:rPr>
              <w:t xml:space="preserve">Noah Cordova</w:t>
            </w:r>
            <w:r>
              <w:t xml:space="preserve"> </w:t>
            </w:r>
            <w:r>
              <w:t xml:space="preserve">(met)</w:t>
            </w:r>
          </w:p>
        </w:tc>
        <w:tc>
          <w:tcPr/>
          <w:p>
            <w:pPr>
              <w:pStyle w:val="Compact"/>
            </w:pPr>
            <w:r>
              <w:t xml:space="preserve">Talent Acquisition Business Partner; runs recruiting for Lakewood professional roles</w:t>
            </w:r>
          </w:p>
        </w:tc>
        <w:tc>
          <w:tcPr/>
          <w:p>
            <w:pPr>
              <w:pStyle w:val="Compact"/>
            </w:pPr>
            <w:r>
              <w:t xml:space="preserve">Process, fit, next steps</w:t>
            </w:r>
          </w:p>
        </w:tc>
        <w:tc>
          <w:tcPr/>
          <w:p>
            <w:pPr>
              <w:pStyle w:val="Compact"/>
            </w:pPr>
            <w:r>
              <w:t xml:space="preserve">Ask about timeline at the end</w:t>
            </w:r>
          </w:p>
        </w:tc>
      </w:tr>
      <w:tr>
        <w:tc>
          <w:tcPr/>
          <w:p>
            <w:pPr>
              <w:pStyle w:val="Compact"/>
            </w:pPr>
            <w:r>
              <w:rPr>
                <w:b/>
                <w:bCs/>
              </w:rPr>
              <w:t xml:space="preserve">Nathalie Paterno</w:t>
            </w:r>
            <w:r>
              <w:t xml:space="preserve"> </w:t>
            </w:r>
            <w:r>
              <w:t xml:space="preserve">(met)</w:t>
            </w:r>
          </w:p>
        </w:tc>
        <w:tc>
          <w:tcPr/>
          <w:p>
            <w:pPr>
              <w:pStyle w:val="Compact"/>
            </w:pPr>
            <w:r>
              <w:t xml:space="preserve">Senior Talent Acquisition Coordinator, Houston, since May 2026</w:t>
            </w:r>
          </w:p>
        </w:tc>
        <w:tc>
          <w:tcPr/>
          <w:p>
            <w:pPr>
              <w:pStyle w:val="Compact"/>
            </w:pPr>
            <w:r>
              <w:t xml:space="preserve">Logistics</w:t>
            </w:r>
          </w:p>
        </w:tc>
        <w:tc>
          <w:tcPr/>
          <w:p>
            <w:pPr>
              <w:pStyle w:val="Compact"/>
            </w:pPr>
            <w:r>
              <w:t xml:space="preserve">Thank her for coordinating</w:t>
            </w:r>
          </w:p>
        </w:tc>
      </w:tr>
    </w:tbl>
    <w:bookmarkEnd w:id="9"/>
    <w:bookmarkStart w:id="10" w:name="your-core-message"/>
    <w:p>
      <w:pPr>
        <w:pStyle w:val="Heading2"/>
      </w:pPr>
      <w:r>
        <w:t xml:space="preserve">Your core message</w:t>
      </w:r>
    </w:p>
    <w:p>
      <w:pPr>
        <w:pStyle w:val="FirstParagraph"/>
      </w:pPr>
      <w:r>
        <w:t xml:space="preserve">The role is</w:t>
      </w:r>
      <w:r>
        <w:t xml:space="preserve"> </w:t>
      </w:r>
      <w:r>
        <w:rPr>
          <w:b/>
          <w:bCs/>
        </w:rPr>
        <w:t xml:space="preserve">Manager, Business Development (Low Carbon)</w:t>
      </w:r>
      <w:r>
        <w:t xml:space="preserve">, Lakewood, on-site, $140–180K. The job description centers on three jobs: selling 45Z tax credits, preparing CDR credits for issuance and sale, and modeling project economics.</w:t>
      </w:r>
    </w:p>
    <w:p>
      <w:pPr>
        <w:pStyle w:val="BodyText"/>
      </w:pPr>
      <w:r>
        <w:rPr>
          <w:b/>
          <w:bCs/>
        </w:rPr>
        <w:t xml:space="preserve">What the job description reveals.</w:t>
      </w:r>
      <w:r>
        <w:t xml:space="preserve"> </w:t>
      </w:r>
      <w:r>
        <w:t xml:space="preserve">Tallgrass is working with tax credit marketers to sell</w:t>
      </w:r>
      <w:r>
        <w:t xml:space="preserve"> </w:t>
      </w:r>
      <w:r>
        <w:rPr>
          <w:b/>
          <w:bCs/>
        </w:rPr>
        <w:t xml:space="preserve">45Z credits</w:t>
      </w:r>
      <w:r>
        <w:t xml:space="preserve">, negotiating transfer agreements and buying credit insurance. It is also choosing</w:t>
      </w:r>
      <w:r>
        <w:t xml:space="preserve"> </w:t>
      </w:r>
      <w:r>
        <w:rPr>
          <w:b/>
          <w:bCs/>
        </w:rPr>
        <w:t xml:space="preserve">a preferred registry for CDR issuance</w:t>
      </w:r>
      <w:r>
        <w:t xml:space="preserve">. So Tallgrass itself has, or expects to control, credits to sell. That updates our earlier assumption that all credits sit with the shippers. Ask about it (see Matt and JC questions).</w:t>
      </w:r>
    </w:p>
    <w:p>
      <w:pPr>
        <w:pStyle w:val="BodyText"/>
      </w:pPr>
      <w:r>
        <w:rPr>
          <w:b/>
          <w:bCs/>
        </w:rPr>
        <w:t xml:space="preserve">60-second pitch</w:t>
      </w:r>
      <w:r>
        <w:t xml:space="preserve">, built from your résumé:</w:t>
      </w:r>
    </w:p>
    <w:p>
      <w:pPr>
        <w:pStyle w:val="BlockText"/>
      </w:pPr>
      <w:r>
        <w:t xml:space="preserve">“I’ve spent ten years structuring energy, commodity and low-carbon deals. Most recently, as Origination Manager at Compass International, I structured low-carbon fuel contracts across 12 projects, with $500M in intakes and $800M in offtakes. I built 45Q and CORC credits into those project economics through life cycle analysis, and modeled DCF, IRR and DSCR for investment committees. What draws me to Tallgrass is that Trailblazer is already running, so value now depends on commercial structure: which tax credit, which market credit, which registry. That is this role. I’d like to help sell 45Z well today and line up removal revenue for when 45Z ends in 2029.”</w:t>
      </w:r>
    </w:p>
    <w:p>
      <w:pPr>
        <w:pStyle w:val="FirstParagraph"/>
      </w:pPr>
      <w:r>
        <w:rPr>
          <w:b/>
          <w:bCs/>
        </w:rPr>
        <w:t xml:space="preserve">Three points to land:</w:t>
      </w:r>
    </w:p>
    <w:p>
      <w:pPr>
        <w:pStyle w:val="Compact"/>
        <w:numPr>
          <w:ilvl w:val="0"/>
          <w:numId w:val="1001"/>
        </w:numPr>
      </w:pPr>
      <w:r>
        <w:rPr>
          <w:b/>
          <w:bCs/>
        </w:rPr>
        <w:t xml:space="preserve">You already think in this job’s language:</w:t>
      </w:r>
      <w:r>
        <w:t xml:space="preserve"> </w:t>
      </w:r>
      <w:r>
        <w:t xml:space="preserve">45Z versus 45Q, stacking, additionality, registry choice. Prove it with one sharp example, not a lecture.</w:t>
      </w:r>
    </w:p>
    <w:p>
      <w:pPr>
        <w:pStyle w:val="Compact"/>
        <w:numPr>
          <w:ilvl w:val="0"/>
          <w:numId w:val="1001"/>
        </w:numPr>
      </w:pPr>
      <w:r>
        <w:rPr>
          <w:b/>
          <w:bCs/>
        </w:rPr>
        <w:t xml:space="preserve">You can model it:</w:t>
      </w:r>
      <w:r>
        <w:t xml:space="preserve"> </w:t>
      </w:r>
      <w:r>
        <w:t xml:space="preserve">the job asks for DCF, ROI and profitability work. Have one example ready of a model you built and the decision it drove.</w:t>
      </w:r>
    </w:p>
    <w:p>
      <w:pPr>
        <w:pStyle w:val="Compact"/>
        <w:numPr>
          <w:ilvl w:val="0"/>
          <w:numId w:val="1001"/>
        </w:numPr>
      </w:pPr>
      <w:r>
        <w:rPr>
          <w:b/>
          <w:bCs/>
        </w:rPr>
        <w:t xml:space="preserve">You are honest with numbers:</w:t>
      </w:r>
      <w:r>
        <w:t xml:space="preserve"> </w:t>
      </w:r>
      <w:r>
        <w:t xml:space="preserve">say unprompted that BECCS averages of $330+ overstate what pure-CO2 ethanol tonnes will fetch. Managers hire people whose numbers they can trust.</w:t>
      </w:r>
    </w:p>
    <w:bookmarkEnd w:id="10"/>
    <w:bookmarkStart w:id="12" w:name="questions-theyre-likely-to-ask"/>
    <w:p>
      <w:pPr>
        <w:pStyle w:val="Heading2"/>
      </w:pPr>
      <w:r>
        <w:t xml:space="preserve">Questions they’re likely to ask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Likely question</w:t>
            </w:r>
          </w:p>
        </w:tc>
        <w:tc>
          <w:tcPr/>
          <w:p>
            <w:pPr>
              <w:pStyle w:val="Compact"/>
            </w:pPr>
            <w:r>
              <w:t xml:space="preserve">Likely asker</w:t>
            </w:r>
          </w:p>
        </w:tc>
        <w:tc>
          <w:tcPr/>
          <w:p>
            <w:pPr>
              <w:pStyle w:val="Compact"/>
            </w:pPr>
            <w:r>
              <w:t xml:space="preserve">Your answer in brief</w:t>
            </w:r>
          </w:p>
        </w:tc>
      </w:tr>
      <w:tr>
        <w:tc>
          <w:tcPr/>
          <w:p>
            <w:pPr>
              <w:pStyle w:val="Compact"/>
            </w:pPr>
            <w:r>
              <w:t xml:space="preserve">Why did you leave Compass in August?</w:t>
            </w:r>
          </w:p>
        </w:tc>
        <w:tc>
          <w:tcPr/>
          <w:p>
            <w:pPr>
              <w:pStyle w:val="Compact"/>
            </w:pPr>
            <w:r>
              <w:t xml:space="preserve">Matt, Noah</w:t>
            </w:r>
          </w:p>
        </w:tc>
        <w:tc>
          <w:tcPr/>
          <w:p>
            <w:pPr>
              <w:pStyle w:val="Compact"/>
            </w:pPr>
            <w:r>
              <w:t xml:space="preserve">Have one honest, forward-looking sentence ready. Tie it to your résumé’s line about wanting a larger platform with active projects. Never criticize Compass.</w:t>
            </w:r>
          </w:p>
        </w:tc>
      </w:tr>
      <w:tr>
        <w:tc>
          <w:tcPr/>
          <w:p>
            <w:pPr>
              <w:pStyle w:val="Compact"/>
            </w:pPr>
            <w:r>
              <w:t xml:space="preserve">How would you take 45Z credits to market?</w:t>
            </w:r>
          </w:p>
        </w:tc>
        <w:tc>
          <w:tcPr/>
          <w:p>
            <w:pPr>
              <w:pStyle w:val="Compact"/>
            </w:pPr>
            <w:r>
              <w:t xml:space="preserve">JC, Matt</w:t>
            </w:r>
          </w:p>
        </w:tc>
        <w:tc>
          <w:tcPr/>
          <w:p>
            <w:pPr>
              <w:pStyle w:val="Compact"/>
            </w:pPr>
            <w:r>
              <w:t xml:space="preserve">Package the proof buyers diligence: each plant’s emissions rate from 45ZCF-GREET, wage and apprenticeship compliance, volumes and sales records. Price against the transfer market, where production credits trade around $0.90–0.92 per dollar (</w:t>
            </w:r>
            <w:hyperlink r:id="rId11">
              <w:r>
                <w:rPr>
                  <w:rStyle w:val="Hyperlink"/>
                </w:rPr>
                <w:t xml:space="preserve">Crux</w:t>
              </w:r>
            </w:hyperlink>
            <w:r>
              <w:t xml:space="preserve">). Expect 45Z to clear lower while the rules are only proposed, and use insurance against disallowance to narrow that gap.</w:t>
            </w:r>
          </w:p>
        </w:tc>
      </w:tr>
      <w:tr>
        <w:tc>
          <w:tcPr/>
          <w:p>
            <w:pPr>
              <w:pStyle w:val="Compact"/>
            </w:pPr>
            <w:r>
              <w:t xml:space="preserve">Which registry would you pick for CDRs, and why?</w:t>
            </w:r>
          </w:p>
        </w:tc>
        <w:tc>
          <w:tcPr/>
          <w:p>
            <w:pPr>
              <w:pStyle w:val="Compact"/>
            </w:pPr>
            <w:r>
              <w:t xml:space="preserve">JC</w:t>
            </w:r>
          </w:p>
        </w:tc>
        <w:tc>
          <w:tcPr/>
          <w:p>
            <w:pPr>
              <w:pStyle w:val="Compact"/>
            </w:pPr>
            <w:r>
              <w:t xml:space="preserve">Puro first: it explicitly accepts corn ethanol and existing-plant retrofits, and ADM Columbus already uses it. Isometric as a stricter second for buyers who want it. The deciding factor is what the target buyers accept.</w:t>
            </w:r>
          </w:p>
        </w:tc>
      </w:tr>
      <w:tr>
        <w:tc>
          <w:tcPr/>
          <w:p>
            <w:pPr>
              <w:pStyle w:val="Compact"/>
            </w:pPr>
            <w:r>
              <w:t xml:space="preserve">Walk me through a model you built.</w:t>
            </w:r>
          </w:p>
        </w:tc>
        <w:tc>
          <w:tcPr/>
          <w:p>
            <w:pPr>
              <w:pStyle w:val="Compact"/>
            </w:pPr>
            <w:r>
              <w:t xml:space="preserve">Matt, JC</w:t>
            </w:r>
          </w:p>
        </w:tc>
        <w:tc>
          <w:tcPr/>
          <w:p>
            <w:pPr>
              <w:pStyle w:val="Compact"/>
            </w:pPr>
            <w:r>
              <w:t xml:space="preserve">One Compass technoeconomic model: what decision it supported, the 2–3 sensitivities that mattered, and what changed because of it. Keep it to 90 seconds.</w:t>
            </w:r>
          </w:p>
        </w:tc>
      </w:tr>
      <w:tr>
        <w:tc>
          <w:tcPr/>
          <w:p>
            <w:pPr>
              <w:pStyle w:val="Compact"/>
            </w:pPr>
            <w:r>
              <w:t xml:space="preserve">What’s the biggest risk to Trailblazer’s credit value?</w:t>
            </w:r>
          </w:p>
        </w:tc>
        <w:tc>
          <w:tcPr/>
          <w:p>
            <w:pPr>
              <w:pStyle w:val="Compact"/>
            </w:pPr>
            <w:r>
              <w:t xml:space="preserve">Matt, Kyle</w:t>
            </w:r>
          </w:p>
        </w:tc>
        <w:tc>
          <w:tcPr/>
          <w:p>
            <w:pPr>
              <w:pStyle w:val="Compact"/>
            </w:pPr>
            <w:r>
              <w:t xml:space="preserve">The end of 45Z after 2029. The federal value per captured tonne drops from ~$195–260 to $85. Removal credits and longer contracts are the hedge.</w:t>
            </w:r>
          </w:p>
        </w:tc>
      </w:tr>
      <w:tr>
        <w:tc>
          <w:tcPr/>
          <w:p>
            <w:pPr>
              <w:pStyle w:val="Compact"/>
            </w:pPr>
            <w:r>
              <w:t xml:space="preserve">Should Trailblazer pivot to BECCS credits?</w:t>
            </w:r>
          </w:p>
        </w:tc>
        <w:tc>
          <w:tcPr/>
          <w:p>
            <w:pPr>
              <w:pStyle w:val="Compact"/>
            </w:pPr>
            <w:r>
              <w:t xml:space="preserve">JC</w:t>
            </w:r>
          </w:p>
        </w:tc>
        <w:tc>
          <w:tcPr/>
          <w:p>
            <w:pPr>
              <w:pStyle w:val="Compact"/>
            </w:pPr>
            <w:r>
              <w:t xml:space="preserve">Not a pivot; a second layer. Realistic removal prices for pure-CO2 ethanol tonnes are $100–200, and additionality is hardest while 45Z pays. Pre-sell 2030+ tonnes.</w:t>
            </w:r>
          </w:p>
        </w:tc>
      </w:tr>
      <w:tr>
        <w:tc>
          <w:tcPr/>
          <w:p>
            <w:pPr>
              <w:pStyle w:val="Compact"/>
            </w:pPr>
            <w:r>
              <w:t xml:space="preserve">What would you do in your first 90 days?</w:t>
            </w:r>
          </w:p>
        </w:tc>
        <w:tc>
          <w:tcPr/>
          <w:p>
            <w:pPr>
              <w:pStyle w:val="Compact"/>
            </w:pPr>
            <w:r>
              <w:t xml:space="preserve">Matt</w:t>
            </w:r>
          </w:p>
        </w:tc>
        <w:tc>
          <w:tcPr/>
          <w:p>
            <w:pPr>
              <w:pStyle w:val="Compact"/>
            </w:pPr>
            <w:r>
              <w:t xml:space="preserve">Learn the shipper contracts and who holds which credit rights. Get the 45Z marketing package to market. Run a registry comparison for CDRs.</w:t>
            </w:r>
          </w:p>
        </w:tc>
      </w:tr>
      <w:tr>
        <w:tc>
          <w:tcPr/>
          <w:p>
            <w:pPr>
              <w:pStyle w:val="Compact"/>
            </w:pPr>
            <w:r>
              <w:t xml:space="preserve">You haven’t closed a tax credit transfer. How will you get up to speed?</w:t>
            </w:r>
          </w:p>
        </w:tc>
        <w:tc>
          <w:tcPr/>
          <w:p>
            <w:pPr>
              <w:pStyle w:val="Compact"/>
            </w:pPr>
            <w:r>
              <w:t xml:space="preserve">JC</w:t>
            </w:r>
          </w:p>
        </w:tc>
        <w:tc>
          <w:tcPr/>
          <w:p>
            <w:pPr>
              <w:pStyle w:val="Compact"/>
            </w:pPr>
            <w:r>
              <w:t xml:space="preserve">Agree plainly. You have built credits into project economics and negotiated $1.3B of contracts. Transfer agreements are contracts with tax-specific risk, and JC has done it, so you’d learn from him.</w:t>
            </w:r>
          </w:p>
        </w:tc>
      </w:tr>
    </w:tbl>
    <w:bookmarkEnd w:id="12"/>
    <w:bookmarkStart w:id="13" w:name="your-questions-by-person"/>
    <w:p>
      <w:pPr>
        <w:pStyle w:val="Heading2"/>
      </w:pPr>
      <w:r>
        <w:t xml:space="preserve">Your questions, by person</w:t>
      </w:r>
    </w:p>
    <w:p>
      <w:pPr>
        <w:pStyle w:val="FirstParagraph"/>
      </w:pPr>
      <w:r>
        <w:t xml:space="preserve">Pick one or two per person. Each shows you’ve done the work and can’t be answered from the website.</w:t>
      </w:r>
    </w:p>
    <w:p>
      <w:pPr>
        <w:pStyle w:val="BodyText"/>
      </w:pPr>
      <w:r>
        <w:rPr>
          <w:b/>
          <w:bCs/>
        </w:rPr>
        <w:t xml:space="preserve">Matt Kegg</w:t>
      </w:r>
      <w:r>
        <w:t xml:space="preserve"> </w:t>
      </w:r>
      <w:r>
        <w:t xml:space="preserve">(strategy and capital)</w:t>
      </w:r>
    </w:p>
    <w:p>
      <w:pPr>
        <w:pStyle w:val="Compact"/>
        <w:numPr>
          <w:ilvl w:val="0"/>
          <w:numId w:val="1002"/>
        </w:numPr>
      </w:pPr>
      <w:r>
        <w:t xml:space="preserve">“CO2 now sits in your segment with crude and gas gathering. How does it compete for capital against those businesses, and what would it need to show to win more?”</w:t>
      </w:r>
    </w:p>
    <w:p>
      <w:pPr>
        <w:pStyle w:val="Compact"/>
        <w:numPr>
          <w:ilvl w:val="0"/>
          <w:numId w:val="1002"/>
        </w:numPr>
      </w:pPr>
      <w:r>
        <w:t xml:space="preserve">“What would make this hire a clear success to you after a year?”</w:t>
      </w:r>
    </w:p>
    <w:p>
      <w:pPr>
        <w:pStyle w:val="Compact"/>
        <w:numPr>
          <w:ilvl w:val="0"/>
          <w:numId w:val="1002"/>
        </w:numPr>
      </w:pPr>
      <w:r>
        <w:t xml:space="preserve">“The job description mentions marketing 45Z credits and choosing a CDR registry. Does Tallgrass hold those credits itself in some cases, or is it marketing them on shippers’ behalf?”</w:t>
      </w:r>
    </w:p>
    <w:p>
      <w:pPr>
        <w:pStyle w:val="FirstParagraph"/>
      </w:pPr>
      <w:r>
        <w:rPr>
          <w:b/>
          <w:bCs/>
        </w:rPr>
        <w:t xml:space="preserve">JC Chambers</w:t>
      </w:r>
      <w:r>
        <w:t xml:space="preserve"> </w:t>
      </w:r>
      <w:r>
        <w:t xml:space="preserve">(credits and monetization)</w:t>
      </w:r>
    </w:p>
    <w:p>
      <w:pPr>
        <w:pStyle w:val="Compact"/>
        <w:numPr>
          <w:ilvl w:val="0"/>
          <w:numId w:val="1003"/>
        </w:numPr>
      </w:pPr>
      <w:r>
        <w:t xml:space="preserve">“At DCP you monetized 45Q from Class II wells. What did you learn there that changed how you approach Trailblazer?”</w:t>
      </w:r>
    </w:p>
    <w:p>
      <w:pPr>
        <w:pStyle w:val="Compact"/>
        <w:numPr>
          <w:ilvl w:val="0"/>
          <w:numId w:val="1003"/>
        </w:numPr>
      </w:pPr>
      <w:r>
        <w:t xml:space="preserve">“For 45Z transfers, what do buyers push hardest on in diligence while the regulations are still only proposed?”</w:t>
      </w:r>
    </w:p>
    <w:p>
      <w:pPr>
        <w:pStyle w:val="Compact"/>
        <w:numPr>
          <w:ilvl w:val="0"/>
          <w:numId w:val="1003"/>
        </w:numPr>
      </w:pPr>
      <w:r>
        <w:t xml:space="preserve">“How are you weighing Puro against Isometric or others for CDRs? Is buyer acceptance the deciding factor?”</w:t>
      </w:r>
    </w:p>
    <w:p>
      <w:pPr>
        <w:pStyle w:val="Compact"/>
        <w:numPr>
          <w:ilvl w:val="0"/>
          <w:numId w:val="1003"/>
        </w:numPr>
      </w:pPr>
      <w:r>
        <w:t xml:space="preserve">“How do you think about additionality for removal credits while 45Z is paying?”</w:t>
      </w:r>
    </w:p>
    <w:p>
      <w:pPr>
        <w:pStyle w:val="FirstParagraph"/>
      </w:pPr>
      <w:r>
        <w:rPr>
          <w:b/>
          <w:bCs/>
        </w:rPr>
        <w:t xml:space="preserve">Kyle Manley</w:t>
      </w:r>
      <w:r>
        <w:t xml:space="preserve"> </w:t>
      </w:r>
      <w:r>
        <w:t xml:space="preserve">(new projects)</w:t>
      </w:r>
    </w:p>
    <w:p>
      <w:pPr>
        <w:pStyle w:val="Compact"/>
        <w:numPr>
          <w:ilvl w:val="0"/>
          <w:numId w:val="1004"/>
        </w:numPr>
      </w:pPr>
      <w:r>
        <w:t xml:space="preserve">“Last time we talked about [topic from your earlier conversation]. How has that moved since?”</w:t>
      </w:r>
    </w:p>
    <w:p>
      <w:pPr>
        <w:pStyle w:val="Compact"/>
        <w:numPr>
          <w:ilvl w:val="0"/>
          <w:numId w:val="1004"/>
        </w:numPr>
      </w:pPr>
      <w:r>
        <w:t xml:space="preserve">“Beyond Trailblazer, which low-carbon pathway (SAF, hydrogen, more CCS) do you see Tallgrass’s assets being best placed for?”</w:t>
      </w:r>
    </w:p>
    <w:p>
      <w:pPr>
        <w:pStyle w:val="FirstParagraph"/>
      </w:pPr>
      <w:r>
        <w:rPr>
          <w:b/>
          <w:bCs/>
        </w:rPr>
        <w:t xml:space="preserve">Jeff Schaefer</w:t>
      </w:r>
      <w:r>
        <w:t xml:space="preserve"> </w:t>
      </w:r>
      <w:r>
        <w:t xml:space="preserve">(origination)</w:t>
      </w:r>
    </w:p>
    <w:p>
      <w:pPr>
        <w:pStyle w:val="Compact"/>
        <w:numPr>
          <w:ilvl w:val="0"/>
          <w:numId w:val="1005"/>
        </w:numPr>
      </w:pPr>
      <w:r>
        <w:t xml:space="preserve">“What makes a new CO2 source worth signing: volume, distance, credit profile or the counterparty?”</w:t>
      </w:r>
    </w:p>
    <w:p>
      <w:pPr>
        <w:pStyle w:val="Compact"/>
        <w:numPr>
          <w:ilvl w:val="0"/>
          <w:numId w:val="1005"/>
        </w:numPr>
      </w:pPr>
      <w:r>
        <w:t xml:space="preserve">“Is the Wyoming hub open to CO2 that arrives by rail, or from sources other than ethanol?”</w:t>
      </w:r>
    </w:p>
    <w:p>
      <w:pPr>
        <w:pStyle w:val="FirstParagraph"/>
      </w:pPr>
      <w:r>
        <w:rPr>
          <w:b/>
          <w:bCs/>
        </w:rPr>
        <w:t xml:space="preserve">For the whole room, to close</w:t>
      </w:r>
    </w:p>
    <w:p>
      <w:pPr>
        <w:pStyle w:val="Compact"/>
        <w:numPr>
          <w:ilvl w:val="0"/>
          <w:numId w:val="1006"/>
        </w:numPr>
      </w:pPr>
      <w:r>
        <w:t xml:space="preserve">“What’s the hardest commercial problem on your desks right now that this role would help with?”</w:t>
      </w:r>
    </w:p>
    <w:p>
      <w:pPr>
        <w:pStyle w:val="Compact"/>
        <w:numPr>
          <w:ilvl w:val="0"/>
          <w:numId w:val="1006"/>
        </w:numPr>
      </w:pPr>
      <w:r>
        <w:t xml:space="preserve">“Is there anything in my background you’d want me to address before you decide?”</w:t>
      </w:r>
    </w:p>
    <w:p>
      <w:pPr>
        <w:pStyle w:val="FirstParagraph"/>
      </w:pPr>
      <w:r>
        <w:rPr>
          <w:b/>
          <w:bCs/>
        </w:rPr>
        <w:t xml:space="preserve">Noah or Nathalie, at the end:</w:t>
      </w:r>
      <w:r>
        <w:t xml:space="preserve"> </w:t>
      </w:r>
      <w:r>
        <w:t xml:space="preserve">“What are the next steps and the timeline?”</w:t>
      </w:r>
    </w:p>
    <w:bookmarkEnd w:id="13"/>
    <w:bookmarkStart w:id="14" w:name="landmines-and-the-close"/>
    <w:p>
      <w:pPr>
        <w:pStyle w:val="Heading2"/>
      </w:pPr>
      <w:r>
        <w:t xml:space="preserve">Landmines and the close</w:t>
      </w:r>
    </w:p>
    <w:p>
      <w:pPr>
        <w:pStyle w:val="FirstParagraph"/>
      </w:pPr>
      <w:r>
        <w:rPr>
          <w:b/>
          <w:bCs/>
        </w:rPr>
        <w:t xml:space="preserve">Avoid:</w:t>
      </w:r>
    </w:p>
    <w:p>
      <w:pPr>
        <w:pStyle w:val="Compact"/>
        <w:numPr>
          <w:ilvl w:val="0"/>
          <w:numId w:val="1007"/>
        </w:numPr>
      </w:pPr>
      <w:r>
        <w:rPr>
          <w:b/>
          <w:bCs/>
        </w:rPr>
        <w:t xml:space="preserve">Quoting $330–380/t as Trailblazer’s price.</w:t>
      </w:r>
      <w:r>
        <w:t xml:space="preserve"> </w:t>
      </w:r>
      <w:r>
        <w:t xml:space="preserve">JC will know better. Say</w:t>
      </w:r>
      <w:r>
        <w:t xml:space="preserve"> </w:t>
      </w:r>
      <w:r>
        <w:t xml:space="preserve">“BECCS averages are $330+, but pure-CO2 ethanol tonnes have realized $110–180.”</w:t>
      </w:r>
    </w:p>
    <w:p>
      <w:pPr>
        <w:pStyle w:val="Compact"/>
        <w:numPr>
          <w:ilvl w:val="0"/>
          <w:numId w:val="1007"/>
        </w:numPr>
      </w:pPr>
      <w:r>
        <w:rPr>
          <w:b/>
          <w:bCs/>
        </w:rPr>
        <w:t xml:space="preserve">Telling them who owns which credits.</w:t>
      </w:r>
      <w:r>
        <w:t xml:space="preserve"> </w:t>
      </w:r>
      <w:r>
        <w:t xml:space="preserve">You don’t know their contracts. The job description suggests Tallgrass markets 45Z and plans CDR issuance, so ask instead.</w:t>
      </w:r>
    </w:p>
    <w:p>
      <w:pPr>
        <w:pStyle w:val="Compact"/>
        <w:numPr>
          <w:ilvl w:val="0"/>
          <w:numId w:val="1007"/>
        </w:numPr>
      </w:pPr>
      <w:r>
        <w:rPr>
          <w:b/>
          <w:bCs/>
        </w:rPr>
        <w:t xml:space="preserve">Pitching cap-and-trade lobbying in Wyoming or Nebraska.</w:t>
      </w:r>
      <w:r>
        <w:t xml:space="preserve"> </w:t>
      </w:r>
      <w:r>
        <w:t xml:space="preserve">Mention policy only as the SB 840 question.</w:t>
      </w:r>
    </w:p>
    <w:p>
      <w:pPr>
        <w:pStyle w:val="Compact"/>
        <w:numPr>
          <w:ilvl w:val="0"/>
          <w:numId w:val="1007"/>
        </w:numPr>
      </w:pPr>
      <w:r>
        <w:rPr>
          <w:b/>
          <w:bCs/>
        </w:rPr>
        <w:t xml:space="preserve">Lecturing JC on 45Q.</w:t>
      </w:r>
      <w:r>
        <w:t xml:space="preserve"> </w:t>
      </w:r>
      <w:r>
        <w:t xml:space="preserve">He claimed $15MM+ a year of it. Ask what he learned.</w:t>
      </w:r>
    </w:p>
    <w:p>
      <w:pPr>
        <w:pStyle w:val="Compact"/>
        <w:numPr>
          <w:ilvl w:val="0"/>
          <w:numId w:val="1007"/>
        </w:numPr>
      </w:pPr>
      <w:r>
        <w:rPr>
          <w:b/>
          <w:bCs/>
        </w:rPr>
        <w:t xml:space="preserve">Leaving</w:t>
      </w:r>
      <w:r>
        <w:rPr>
          <w:b/>
          <w:bCs/>
        </w:rPr>
        <w:t xml:space="preserve"> </w:t>
      </w:r>
      <w:r>
        <w:rPr>
          <w:b/>
          <w:bCs/>
        </w:rPr>
        <w:t xml:space="preserve">“EBIDBA”</w:t>
      </w:r>
      <w:r>
        <w:rPr>
          <w:b/>
          <w:bCs/>
        </w:rPr>
        <w:t xml:space="preserve"> </w:t>
      </w:r>
      <w:r>
        <w:rPr>
          <w:b/>
          <w:bCs/>
        </w:rPr>
        <w:t xml:space="preserve">on any printed résumé.</w:t>
      </w:r>
      <w:r>
        <w:t xml:space="preserve"> </w:t>
      </w:r>
      <w:r>
        <w:t xml:space="preserve">The Analysis skills line has a typo; it should be EBITDA.</w:t>
      </w:r>
    </w:p>
    <w:p>
      <w:pPr>
        <w:pStyle w:val="FirstParagraph"/>
      </w:pPr>
      <w:r>
        <w:rPr>
          <w:b/>
          <w:bCs/>
        </w:rPr>
        <w:t xml:space="preserve">Bring:</w:t>
      </w:r>
      <w:r>
        <w:t xml:space="preserve"> </w:t>
      </w:r>
      <w:r>
        <w:t xml:space="preserve">the one-page LCA brief (offer it only if credits come up), printed copies of your résumé, and this sheet.</w:t>
      </w:r>
    </w:p>
    <w:p>
      <w:pPr>
        <w:pStyle w:val="BodyText"/>
      </w:pPr>
      <w:r>
        <w:rPr>
          <w:b/>
          <w:bCs/>
        </w:rPr>
        <w:t xml:space="preserve">Close (30 seconds):</w:t>
      </w:r>
      <w:r>
        <w:t xml:space="preserve"> </w:t>
      </w:r>
      <w:r>
        <w:t xml:space="preserve">“Thank you. What I heard today is that [one thing each person said]. This role sits where I’ve spent the last two years: turning carbon credits into contracted revenue. I’d like to help Tallgrass sell 45Z well now and build removal revenue for 2030 and beyond.”</w:t>
      </w:r>
    </w:p>
    <w:p>
      <w:pPr>
        <w:pStyle w:val="BodyText"/>
      </w:pPr>
      <w:r>
        <w:t xml:space="preserve">Sources: Tallgrass job description; LinkedIn profiles provided; your résumé;</w:t>
      </w:r>
      <w:r>
        <w:t xml:space="preserve"> </w:t>
      </w:r>
      <w:hyperlink r:id="rId11">
        <w:r>
          <w:rPr>
            <w:rStyle w:val="Hyperlink"/>
          </w:rPr>
          <w:t xml:space="preserve">Crux Q1 2026 transfer market update</w:t>
        </w:r>
      </w:hyperlink>
      <w:r>
        <w:t xml:space="preserve">; LCA at Tallgrass: One-Page Brief.</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www.cruxclimate.com/insights/1q2026-market-update-qa-josh-price" TargetMode="External" /></Relationships>
</file>

<file path=word/_rels/footnotes.xml.rels><?xml version="1.0" encoding="UTF-8"?><Relationships xmlns="http://schemas.openxmlformats.org/package/2006/relationships"><Relationship Type="http://schemas.openxmlformats.org/officeDocument/2006/relationships/hyperlink" Id="rId11" Target="https://www.cruxclimate.com/insights/1q2026-market-update-qa-josh-pr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2026-10-02T06:04:33Z</dcterms:created>
  <dcterms:modified xsi:type="dcterms:W3CDTF">2026-10-02T06:04:33Z</dcterms:modified>
</cp:coreProperties>
</file>

<file path=docProps/custom.xml><?xml version="1.0" encoding="utf-8"?>
<Properties xmlns="http://schemas.openxmlformats.org/officeDocument/2006/custom-properties" xmlns:vt="http://schemas.openxmlformats.org/officeDocument/2006/docPropsVTypes"/>
</file>