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C62D54" w14:textId="77777777" w:rsidR="00AD4621" w:rsidRPr="003B509C" w:rsidRDefault="00000000">
      <w:pPr>
        <w:spacing w:after="40"/>
        <w:jc w:val="center"/>
        <w:rPr>
          <w:rFonts w:asciiTheme="majorHAnsi" w:hAnsiTheme="majorHAnsi"/>
          <w:sz w:val="22"/>
          <w:szCs w:val="22"/>
        </w:rPr>
      </w:pPr>
      <w:r w:rsidRPr="003B509C">
        <w:rPr>
          <w:rFonts w:asciiTheme="majorHAnsi" w:hAnsiTheme="majorHAnsi"/>
          <w:b/>
          <w:bCs/>
          <w:sz w:val="36"/>
          <w:szCs w:val="36"/>
        </w:rPr>
        <w:t>AAPL Stock Market Time-Series Analysis</w:t>
      </w:r>
    </w:p>
    <w:p w14:paraId="2DC5DAF7" w14:textId="13A95655" w:rsidR="00AD4621" w:rsidRPr="003B509C" w:rsidRDefault="00000000">
      <w:pPr>
        <w:spacing w:after="40"/>
        <w:jc w:val="center"/>
        <w:rPr>
          <w:rFonts w:asciiTheme="majorHAnsi" w:hAnsiTheme="majorHAnsi"/>
          <w:sz w:val="22"/>
          <w:szCs w:val="22"/>
        </w:rPr>
      </w:pPr>
      <w:r w:rsidRPr="003B509C">
        <w:rPr>
          <w:rFonts w:asciiTheme="majorHAnsi" w:hAnsiTheme="majorHAnsi"/>
          <w:b/>
          <w:bCs/>
          <w:color w:val="444444"/>
          <w:sz w:val="28"/>
          <w:szCs w:val="28"/>
        </w:rPr>
        <w:t>Insight Summary Report</w:t>
      </w:r>
      <w:r w:rsidR="003B509C" w:rsidRPr="003B509C">
        <w:rPr>
          <w:rFonts w:asciiTheme="majorHAnsi" w:hAnsiTheme="majorHAnsi"/>
          <w:b/>
          <w:bCs/>
          <w:color w:val="444444"/>
          <w:sz w:val="28"/>
          <w:szCs w:val="28"/>
        </w:rPr>
        <w:t xml:space="preserve"> </w:t>
      </w:r>
    </w:p>
    <w:p w14:paraId="1A6DFB57" w14:textId="7E88187A" w:rsidR="00AD4621" w:rsidRPr="003B509C" w:rsidRDefault="00000000">
      <w:pPr>
        <w:pBdr>
          <w:bottom w:val="single" w:sz="6" w:space="8" w:color="AAAAAA"/>
        </w:pBdr>
        <w:spacing w:after="200"/>
        <w:jc w:val="center"/>
        <w:rPr>
          <w:rFonts w:asciiTheme="majorHAnsi" w:hAnsiTheme="majorHAnsi"/>
          <w:sz w:val="22"/>
          <w:szCs w:val="22"/>
        </w:rPr>
      </w:pPr>
      <w:proofErr w:type="spellStart"/>
      <w:r w:rsidRPr="003B509C">
        <w:rPr>
          <w:rFonts w:asciiTheme="majorHAnsi" w:hAnsiTheme="majorHAnsi"/>
          <w:i/>
          <w:iCs/>
          <w:color w:val="666666"/>
          <w:sz w:val="22"/>
          <w:szCs w:val="22"/>
        </w:rPr>
        <w:t>AnalystLab</w:t>
      </w:r>
      <w:proofErr w:type="spellEnd"/>
      <w:r w:rsidRPr="003B509C">
        <w:rPr>
          <w:rFonts w:asciiTheme="majorHAnsi" w:hAnsiTheme="majorHAnsi"/>
          <w:i/>
          <w:iCs/>
          <w:color w:val="666666"/>
          <w:sz w:val="22"/>
          <w:szCs w:val="22"/>
        </w:rPr>
        <w:t xml:space="preserve"> Africa | Data Analytics Track | Week 6</w:t>
      </w:r>
      <w:r w:rsidR="003B509C" w:rsidRPr="003B509C">
        <w:rPr>
          <w:rFonts w:asciiTheme="majorHAnsi" w:hAnsiTheme="majorHAnsi"/>
          <w:i/>
          <w:iCs/>
          <w:color w:val="666666"/>
          <w:sz w:val="22"/>
          <w:szCs w:val="22"/>
        </w:rPr>
        <w:t xml:space="preserve"> | Tobiloba Osikoya</w:t>
      </w:r>
    </w:p>
    <w:p w14:paraId="085008A2" w14:textId="77777777" w:rsidR="00AD4621" w:rsidRPr="003B509C" w:rsidRDefault="00000000">
      <w:pPr>
        <w:pStyle w:val="Heading1"/>
        <w:spacing w:before="240" w:after="120"/>
        <w:rPr>
          <w:rFonts w:asciiTheme="minorHAnsi" w:hAnsiTheme="minorHAnsi"/>
          <w:color w:val="auto"/>
          <w:sz w:val="36"/>
          <w:szCs w:val="36"/>
        </w:rPr>
      </w:pPr>
      <w:r w:rsidRPr="003B509C">
        <w:rPr>
          <w:rFonts w:asciiTheme="minorHAnsi" w:hAnsiTheme="minorHAnsi"/>
          <w:b/>
          <w:bCs/>
          <w:color w:val="auto"/>
          <w:sz w:val="36"/>
          <w:szCs w:val="36"/>
        </w:rPr>
        <w:t>1. Dataset Overview</w:t>
      </w:r>
    </w:p>
    <w:p w14:paraId="0167E208" w14:textId="77777777" w:rsidR="00AD4621" w:rsidRPr="003B509C" w:rsidRDefault="00000000">
      <w:pPr>
        <w:spacing w:after="120"/>
        <w:rPr>
          <w:rFonts w:asciiTheme="minorHAnsi" w:hAnsiTheme="minorHAnsi"/>
          <w:sz w:val="22"/>
          <w:szCs w:val="22"/>
        </w:rPr>
      </w:pPr>
      <w:r w:rsidRPr="003B509C">
        <w:rPr>
          <w:rFonts w:asciiTheme="minorHAnsi" w:hAnsiTheme="minorHAnsi"/>
          <w:sz w:val="22"/>
          <w:szCs w:val="22"/>
        </w:rPr>
        <w:t xml:space="preserve">Approximately 5 years of daily historical stock data for Apple Inc. (AAPL) was pulled via the </w:t>
      </w:r>
      <w:proofErr w:type="spellStart"/>
      <w:r w:rsidRPr="003B509C">
        <w:rPr>
          <w:rFonts w:asciiTheme="minorHAnsi" w:hAnsiTheme="minorHAnsi"/>
          <w:sz w:val="22"/>
          <w:szCs w:val="22"/>
        </w:rPr>
        <w:t>yfinance</w:t>
      </w:r>
      <w:proofErr w:type="spellEnd"/>
      <w:r w:rsidRPr="003B509C">
        <w:rPr>
          <w:rFonts w:asciiTheme="minorHAnsi" w:hAnsiTheme="minorHAnsi"/>
          <w:sz w:val="22"/>
          <w:szCs w:val="22"/>
        </w:rPr>
        <w:t xml:space="preserve"> API, covering Open, High, Low, Close, Adjusted Close, and Volume. The dataset runs from mid-2021 through August 2026. That's a long enough window to see both the big multi-year trend and the everyday noise underneath it.</w:t>
      </w:r>
    </w:p>
    <w:p w14:paraId="095702B5" w14:textId="77777777" w:rsidR="00AD4621" w:rsidRPr="003B509C" w:rsidRDefault="00000000">
      <w:pPr>
        <w:pStyle w:val="Heading1"/>
        <w:spacing w:before="240" w:after="120"/>
        <w:rPr>
          <w:rFonts w:asciiTheme="minorHAnsi" w:hAnsiTheme="minorHAnsi"/>
          <w:color w:val="auto"/>
          <w:sz w:val="36"/>
          <w:szCs w:val="36"/>
        </w:rPr>
      </w:pPr>
      <w:r w:rsidRPr="003B509C">
        <w:rPr>
          <w:rFonts w:asciiTheme="minorHAnsi" w:hAnsiTheme="minorHAnsi"/>
          <w:b/>
          <w:bCs/>
          <w:color w:val="auto"/>
          <w:sz w:val="36"/>
          <w:szCs w:val="36"/>
        </w:rPr>
        <w:t>2. Data Transformation Techniques Applied</w:t>
      </w:r>
    </w:p>
    <w:p w14:paraId="6A0F9D43" w14:textId="77777777" w:rsidR="00AD4621" w:rsidRPr="003B509C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3B509C">
        <w:rPr>
          <w:rFonts w:asciiTheme="minorHAnsi" w:hAnsiTheme="minorHAnsi"/>
          <w:sz w:val="22"/>
          <w:szCs w:val="22"/>
        </w:rPr>
        <w:t xml:space="preserve">Flattened the multi-level column structure returned by </w:t>
      </w:r>
      <w:proofErr w:type="spellStart"/>
      <w:r w:rsidRPr="003B509C">
        <w:rPr>
          <w:rFonts w:asciiTheme="minorHAnsi" w:hAnsiTheme="minorHAnsi"/>
          <w:sz w:val="22"/>
          <w:szCs w:val="22"/>
        </w:rPr>
        <w:t>yfinance</w:t>
      </w:r>
      <w:proofErr w:type="spellEnd"/>
      <w:r w:rsidRPr="003B509C">
        <w:rPr>
          <w:rFonts w:asciiTheme="minorHAnsi" w:hAnsiTheme="minorHAnsi"/>
          <w:sz w:val="22"/>
          <w:szCs w:val="22"/>
        </w:rPr>
        <w:t xml:space="preserve"> into single-level columns (Close, Open, High, Low, Volume).</w:t>
      </w:r>
    </w:p>
    <w:p w14:paraId="741111EE" w14:textId="77777777" w:rsidR="00AD4621" w:rsidRPr="003B509C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3B509C">
        <w:rPr>
          <w:rFonts w:asciiTheme="minorHAnsi" w:hAnsiTheme="minorHAnsi"/>
          <w:sz w:val="22"/>
          <w:szCs w:val="22"/>
        </w:rPr>
        <w:t>Verified the date index was in chronological order and confirmed there were no duplicate entries.</w:t>
      </w:r>
    </w:p>
    <w:p w14:paraId="4DE9BFE9" w14:textId="77777777" w:rsidR="00AD4621" w:rsidRPr="003B509C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3B509C">
        <w:rPr>
          <w:rFonts w:asciiTheme="minorHAnsi" w:hAnsiTheme="minorHAnsi"/>
          <w:sz w:val="22"/>
          <w:szCs w:val="22"/>
        </w:rPr>
        <w:t>Extracted Year and Month from the date index to support monthly aggregation.</w:t>
      </w:r>
    </w:p>
    <w:p w14:paraId="1B742F94" w14:textId="77777777" w:rsidR="00AD4621" w:rsidRPr="003B509C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3B509C">
        <w:rPr>
          <w:rFonts w:asciiTheme="minorHAnsi" w:hAnsiTheme="minorHAnsi"/>
          <w:sz w:val="22"/>
          <w:szCs w:val="22"/>
        </w:rPr>
        <w:t>Grouped the data by Year and Month to get the monthly average closing price.</w:t>
      </w:r>
    </w:p>
    <w:p w14:paraId="535203C0" w14:textId="77777777" w:rsidR="00AD4621" w:rsidRPr="003B509C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3B509C">
        <w:rPr>
          <w:rFonts w:asciiTheme="minorHAnsi" w:hAnsiTheme="minorHAnsi"/>
          <w:sz w:val="22"/>
          <w:szCs w:val="22"/>
        </w:rPr>
        <w:t>Resampled daily data to monthly frequency and calculated month-over-month percentage returns.</w:t>
      </w:r>
    </w:p>
    <w:p w14:paraId="0C66C56E" w14:textId="77777777" w:rsidR="00AD4621" w:rsidRPr="003B509C" w:rsidRDefault="00000000">
      <w:pPr>
        <w:pStyle w:val="Heading1"/>
        <w:spacing w:before="240" w:after="120"/>
        <w:rPr>
          <w:rFonts w:asciiTheme="minorHAnsi" w:hAnsiTheme="minorHAnsi"/>
          <w:color w:val="auto"/>
          <w:sz w:val="36"/>
          <w:szCs w:val="36"/>
        </w:rPr>
      </w:pPr>
      <w:r w:rsidRPr="003B509C">
        <w:rPr>
          <w:rFonts w:asciiTheme="minorHAnsi" w:hAnsiTheme="minorHAnsi"/>
          <w:b/>
          <w:bCs/>
          <w:color w:val="auto"/>
          <w:sz w:val="36"/>
          <w:szCs w:val="36"/>
        </w:rPr>
        <w:t>3. Trends Identified</w:t>
      </w:r>
    </w:p>
    <w:p w14:paraId="5DB0B6EB" w14:textId="77777777" w:rsidR="00AD4621" w:rsidRPr="003B509C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3B509C">
        <w:rPr>
          <w:rFonts w:asciiTheme="minorHAnsi" w:hAnsiTheme="minorHAnsi"/>
          <w:sz w:val="22"/>
          <w:szCs w:val="22"/>
        </w:rPr>
        <w:t>AAPL's closing price rose from $144.54 to $316.83 over the roughly five-year period, a gain of about 119%. It more than doubled.</w:t>
      </w:r>
    </w:p>
    <w:p w14:paraId="5F664AC8" w14:textId="77777777" w:rsidR="00AD4621" w:rsidRPr="003B509C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3B509C">
        <w:rPr>
          <w:rFonts w:asciiTheme="minorHAnsi" w:hAnsiTheme="minorHAnsi"/>
          <w:sz w:val="22"/>
          <w:szCs w:val="22"/>
        </w:rPr>
        <w:t>That climb wasn't a straight line. Clear consolidation and pullback phases show up around 2022 to 2023, and again in 2024, before a stronger, sustained rally into 2025 and 2026.</w:t>
      </w:r>
    </w:p>
    <w:p w14:paraId="724FCCB2" w14:textId="77777777" w:rsidR="00AD4621" w:rsidRPr="003B509C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3B509C">
        <w:rPr>
          <w:rFonts w:asciiTheme="minorHAnsi" w:hAnsiTheme="minorHAnsi"/>
          <w:sz w:val="22"/>
          <w:szCs w:val="22"/>
        </w:rPr>
        <w:t>The 7-day and 30-day moving averages show the short-term price oscillating around a smoother long-term uptrend. MA_7/MA_30 crossovers line up with the start of each rally and pullback phase, which is a genuinely useful pattern to watch.</w:t>
      </w:r>
    </w:p>
    <w:p w14:paraId="7A6CB408" w14:textId="77777777" w:rsidR="00AD4621" w:rsidRPr="003B509C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3B509C">
        <w:rPr>
          <w:rFonts w:asciiTheme="minorHAnsi" w:hAnsiTheme="minorHAnsi"/>
          <w:sz w:val="22"/>
          <w:szCs w:val="22"/>
        </w:rPr>
        <w:t>Trading volume stayed fairly range-bound over the period, with no strong long-term direction. It was punctuated instead by periodic sharp spikes, likely tied to earnings releases or major news events.</w:t>
      </w:r>
    </w:p>
    <w:p w14:paraId="3743A259" w14:textId="77777777" w:rsidR="00AD4621" w:rsidRPr="003B509C" w:rsidRDefault="00000000">
      <w:pPr>
        <w:pStyle w:val="Heading1"/>
        <w:spacing w:before="240" w:after="120"/>
        <w:rPr>
          <w:rFonts w:asciiTheme="minorHAnsi" w:hAnsiTheme="minorHAnsi"/>
          <w:color w:val="auto"/>
          <w:sz w:val="36"/>
          <w:szCs w:val="36"/>
        </w:rPr>
      </w:pPr>
      <w:r w:rsidRPr="003B509C">
        <w:rPr>
          <w:rFonts w:asciiTheme="minorHAnsi" w:hAnsiTheme="minorHAnsi"/>
          <w:b/>
          <w:bCs/>
          <w:color w:val="auto"/>
          <w:sz w:val="36"/>
          <w:szCs w:val="36"/>
        </w:rPr>
        <w:t>4. Features Created</w:t>
      </w:r>
    </w:p>
    <w:p w14:paraId="38B80B85" w14:textId="77777777" w:rsidR="00AD4621" w:rsidRPr="003B509C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proofErr w:type="spellStart"/>
      <w:r w:rsidRPr="003B509C">
        <w:rPr>
          <w:rFonts w:asciiTheme="minorHAnsi" w:hAnsiTheme="minorHAnsi"/>
          <w:sz w:val="22"/>
          <w:szCs w:val="22"/>
        </w:rPr>
        <w:t>Price_Change</w:t>
      </w:r>
      <w:proofErr w:type="spellEnd"/>
      <w:r w:rsidRPr="003B509C">
        <w:rPr>
          <w:rFonts w:asciiTheme="minorHAnsi" w:hAnsiTheme="minorHAnsi"/>
          <w:sz w:val="22"/>
          <w:szCs w:val="22"/>
        </w:rPr>
        <w:t>: the absolute day-over-day dollar change in closing price.</w:t>
      </w:r>
    </w:p>
    <w:p w14:paraId="079EC955" w14:textId="77777777" w:rsidR="00AD4621" w:rsidRPr="003B509C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proofErr w:type="spellStart"/>
      <w:r w:rsidRPr="003B509C">
        <w:rPr>
          <w:rFonts w:asciiTheme="minorHAnsi" w:hAnsiTheme="minorHAnsi"/>
          <w:sz w:val="22"/>
          <w:szCs w:val="22"/>
        </w:rPr>
        <w:t>Daily_Return</w:t>
      </w:r>
      <w:proofErr w:type="spellEnd"/>
      <w:r w:rsidRPr="003B509C">
        <w:rPr>
          <w:rFonts w:asciiTheme="minorHAnsi" w:hAnsiTheme="minorHAnsi"/>
          <w:sz w:val="22"/>
          <w:szCs w:val="22"/>
        </w:rPr>
        <w:t>_%: the percentage day-over-day change in closing price.</w:t>
      </w:r>
    </w:p>
    <w:p w14:paraId="719E7773" w14:textId="77777777" w:rsidR="00AD4621" w:rsidRPr="003B509C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3B509C">
        <w:rPr>
          <w:rFonts w:asciiTheme="minorHAnsi" w:hAnsiTheme="minorHAnsi"/>
          <w:sz w:val="22"/>
          <w:szCs w:val="22"/>
        </w:rPr>
        <w:t>MA_7 and MA_30, the 7-day and 30-day rolling moving averages of closing price.</w:t>
      </w:r>
    </w:p>
    <w:p w14:paraId="6759721B" w14:textId="77777777" w:rsidR="00AD4621" w:rsidRPr="003B509C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3B509C">
        <w:rPr>
          <w:rFonts w:asciiTheme="minorHAnsi" w:hAnsiTheme="minorHAnsi"/>
          <w:sz w:val="22"/>
          <w:szCs w:val="22"/>
        </w:rPr>
        <w:t>Monthly Return, a month-over-month percentage change based on resampled monthly closing price.</w:t>
      </w:r>
    </w:p>
    <w:p w14:paraId="6D7B7569" w14:textId="77777777" w:rsidR="00AD4621" w:rsidRPr="003B509C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3B509C">
        <w:rPr>
          <w:rFonts w:asciiTheme="minorHAnsi" w:hAnsiTheme="minorHAnsi"/>
          <w:sz w:val="22"/>
          <w:szCs w:val="22"/>
        </w:rPr>
        <w:t>Volatility_30: a 30-day rolling standard deviation of daily returns, used as the volatility measure.</w:t>
      </w:r>
    </w:p>
    <w:p w14:paraId="345423CC" w14:textId="77777777" w:rsidR="00AD4621" w:rsidRPr="003B509C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3B509C">
        <w:rPr>
          <w:rFonts w:asciiTheme="minorHAnsi" w:hAnsiTheme="minorHAnsi"/>
          <w:sz w:val="22"/>
          <w:szCs w:val="22"/>
        </w:rPr>
        <w:t>Cumulative Return, showing the compounded growth of an investment held over the full period.</w:t>
      </w:r>
    </w:p>
    <w:p w14:paraId="1AEE1D42" w14:textId="77777777" w:rsidR="00AD4621" w:rsidRPr="003B509C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3B509C">
        <w:rPr>
          <w:rFonts w:asciiTheme="minorHAnsi" w:hAnsiTheme="minorHAnsi"/>
          <w:sz w:val="22"/>
          <w:szCs w:val="22"/>
        </w:rPr>
        <w:t>Volume_MA_30, a 30-day rolling average of trading volume added as an extra feature to smooth out daily volume noise.</w:t>
      </w:r>
    </w:p>
    <w:p w14:paraId="7D677BD4" w14:textId="77777777" w:rsidR="003B509C" w:rsidRPr="003B509C" w:rsidRDefault="003B509C" w:rsidP="003B509C">
      <w:pPr>
        <w:spacing w:after="80"/>
        <w:rPr>
          <w:rFonts w:asciiTheme="minorHAnsi" w:hAnsiTheme="minorHAnsi"/>
          <w:sz w:val="22"/>
          <w:szCs w:val="22"/>
        </w:rPr>
      </w:pPr>
    </w:p>
    <w:p w14:paraId="2B0B4BB0" w14:textId="77777777" w:rsidR="003B509C" w:rsidRPr="003B509C" w:rsidRDefault="003B509C" w:rsidP="003B509C">
      <w:pPr>
        <w:spacing w:after="80"/>
        <w:rPr>
          <w:rFonts w:asciiTheme="minorHAnsi" w:hAnsiTheme="minorHAnsi"/>
          <w:sz w:val="22"/>
          <w:szCs w:val="22"/>
        </w:rPr>
      </w:pPr>
    </w:p>
    <w:p w14:paraId="3BE51FC7" w14:textId="77777777" w:rsidR="00AD4621" w:rsidRPr="003B509C" w:rsidRDefault="00000000">
      <w:pPr>
        <w:pStyle w:val="Heading1"/>
        <w:spacing w:before="240" w:after="120"/>
        <w:rPr>
          <w:rFonts w:asciiTheme="minorHAnsi" w:hAnsiTheme="minorHAnsi"/>
          <w:color w:val="auto"/>
          <w:sz w:val="36"/>
          <w:szCs w:val="36"/>
        </w:rPr>
      </w:pPr>
      <w:r w:rsidRPr="003B509C">
        <w:rPr>
          <w:rFonts w:asciiTheme="minorHAnsi" w:hAnsiTheme="minorHAnsi"/>
          <w:b/>
          <w:bCs/>
          <w:color w:val="auto"/>
          <w:sz w:val="36"/>
          <w:szCs w:val="36"/>
        </w:rPr>
        <w:lastRenderedPageBreak/>
        <w:t>5. Key Insights</w:t>
      </w:r>
    </w:p>
    <w:p w14:paraId="6000F4FA" w14:textId="77777777" w:rsidR="00AD4621" w:rsidRPr="003B509C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3B509C">
        <w:rPr>
          <w:rFonts w:asciiTheme="minorHAnsi" w:hAnsiTheme="minorHAnsi"/>
          <w:sz w:val="22"/>
          <w:szCs w:val="22"/>
        </w:rPr>
        <w:t>Daily returns had a standard deviation of about 1.77%. That's a moderate level of day-to-day volatility for a large-cap stock, and it's higher than a broad market index, which usually sits under 1%.</w:t>
      </w:r>
    </w:p>
    <w:p w14:paraId="1FC2F2F0" w14:textId="77777777" w:rsidR="00AD4621" w:rsidRPr="003B509C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3B509C">
        <w:rPr>
          <w:rFonts w:asciiTheme="minorHAnsi" w:hAnsiTheme="minorHAnsi"/>
          <w:sz w:val="22"/>
          <w:szCs w:val="22"/>
        </w:rPr>
        <w:t>Rolling volatility spiked sharply to nearly 4% around 2025. That's the most turbulent stretch in the whole dataset, and it stands out clearly against an otherwise steady 1% to 2% range.</w:t>
      </w:r>
    </w:p>
    <w:p w14:paraId="14EEAC0B" w14:textId="77777777" w:rsidR="00AD4621" w:rsidRPr="003B509C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3B509C">
        <w:rPr>
          <w:rFonts w:asciiTheme="minorHAnsi" w:hAnsiTheme="minorHAnsi"/>
          <w:sz w:val="22"/>
          <w:szCs w:val="22"/>
        </w:rPr>
        <w:t>The daily returns distribution clusters tightly around 0%, which is normal for a single stock. Most days see small moves. Only a handful show larger outlier swings.</w:t>
      </w:r>
    </w:p>
    <w:p w14:paraId="234AE715" w14:textId="77777777" w:rsidR="00AD4621" w:rsidRPr="003B509C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3B509C">
        <w:rPr>
          <w:rFonts w:asciiTheme="minorHAnsi" w:hAnsiTheme="minorHAnsi"/>
          <w:sz w:val="22"/>
          <w:szCs w:val="22"/>
        </w:rPr>
        <w:t>Despite the short-term corrections, the overall five-year trend is strongly positive. That suggests the pullback periods were temporary dips rather than trend reversals.</w:t>
      </w:r>
    </w:p>
    <w:p w14:paraId="0B8FD63E" w14:textId="77777777" w:rsidR="00AD4621" w:rsidRPr="003B509C" w:rsidRDefault="00000000">
      <w:pPr>
        <w:pStyle w:val="Heading1"/>
        <w:spacing w:before="240" w:after="120"/>
        <w:rPr>
          <w:rFonts w:asciiTheme="minorHAnsi" w:hAnsiTheme="minorHAnsi"/>
          <w:color w:val="auto"/>
          <w:sz w:val="36"/>
          <w:szCs w:val="36"/>
        </w:rPr>
      </w:pPr>
      <w:r w:rsidRPr="003B509C">
        <w:rPr>
          <w:rFonts w:asciiTheme="minorHAnsi" w:hAnsiTheme="minorHAnsi"/>
          <w:b/>
          <w:bCs/>
          <w:color w:val="auto"/>
          <w:sz w:val="36"/>
          <w:szCs w:val="36"/>
        </w:rPr>
        <w:t>6. Recommendations</w:t>
      </w:r>
    </w:p>
    <w:p w14:paraId="281AB22F" w14:textId="77777777" w:rsidR="00AD4621" w:rsidRPr="003B509C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3B509C">
        <w:rPr>
          <w:rFonts w:asciiTheme="minorHAnsi" w:hAnsiTheme="minorHAnsi"/>
          <w:sz w:val="22"/>
          <w:szCs w:val="22"/>
        </w:rPr>
        <w:t>Use MA_7/MA_30 crossovers as a simple trend-following signal to flag potential shifts in short-term momentum relative to the longer-term trend.</w:t>
      </w:r>
    </w:p>
    <w:p w14:paraId="23328E9E" w14:textId="77777777" w:rsidR="00AD4621" w:rsidRPr="003B509C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3B509C">
        <w:rPr>
          <w:rFonts w:asciiTheme="minorHAnsi" w:hAnsiTheme="minorHAnsi"/>
          <w:sz w:val="22"/>
          <w:szCs w:val="22"/>
        </w:rPr>
        <w:t>Treat periods where 30-day volatility rises sharply, like the 2025 spike, as a flag worth investigating further. Cross-referencing against earnings dates or major news would be a good next step.</w:t>
      </w:r>
    </w:p>
    <w:p w14:paraId="6595F932" w14:textId="77777777" w:rsidR="00AD4621" w:rsidRPr="003B509C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3B509C">
        <w:rPr>
          <w:rFonts w:asciiTheme="minorHAnsi" w:hAnsiTheme="minorHAnsi"/>
          <w:sz w:val="22"/>
          <w:szCs w:val="22"/>
        </w:rPr>
        <w:t>Given how strong the long-term uptrend is relative to short-term noise, a longer holding horizon would have captured most of the overall gain while smoothing out the short-term drawdowns.</w:t>
      </w:r>
    </w:p>
    <w:p w14:paraId="4585DD0A" w14:textId="77777777" w:rsidR="00AD4621" w:rsidRPr="003B509C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  <w:sz w:val="22"/>
          <w:szCs w:val="22"/>
        </w:rPr>
      </w:pPr>
      <w:r w:rsidRPr="003B509C">
        <w:rPr>
          <w:rFonts w:asciiTheme="minorHAnsi" w:hAnsiTheme="minorHAnsi"/>
          <w:sz w:val="22"/>
          <w:szCs w:val="22"/>
        </w:rPr>
        <w:t>Future analysis could bring in more context, like an earnings calendar or macroeconomic events, to better explain the volume and volatility spikes flagged in this report.</w:t>
      </w:r>
    </w:p>
    <w:sectPr w:rsidR="00AD4621" w:rsidRPr="003B509C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C12184"/>
    <w:multiLevelType w:val="hybridMultilevel"/>
    <w:tmpl w:val="1CF67036"/>
    <w:lvl w:ilvl="0" w:tplc="372E6914">
      <w:start w:val="1"/>
      <w:numFmt w:val="bullet"/>
      <w:lvlText w:val="•"/>
      <w:lvlJc w:val="left"/>
      <w:pPr>
        <w:ind w:left="360" w:hanging="260"/>
      </w:pPr>
    </w:lvl>
    <w:lvl w:ilvl="1" w:tplc="A0E05078">
      <w:numFmt w:val="decimal"/>
      <w:lvlText w:val=""/>
      <w:lvlJc w:val="left"/>
    </w:lvl>
    <w:lvl w:ilvl="2" w:tplc="7CA0A68E">
      <w:numFmt w:val="decimal"/>
      <w:lvlText w:val=""/>
      <w:lvlJc w:val="left"/>
    </w:lvl>
    <w:lvl w:ilvl="3" w:tplc="381AB6E0">
      <w:numFmt w:val="decimal"/>
      <w:lvlText w:val=""/>
      <w:lvlJc w:val="left"/>
    </w:lvl>
    <w:lvl w:ilvl="4" w:tplc="5F2A2A8C">
      <w:numFmt w:val="decimal"/>
      <w:lvlText w:val=""/>
      <w:lvlJc w:val="left"/>
    </w:lvl>
    <w:lvl w:ilvl="5" w:tplc="9B4AEBCC">
      <w:numFmt w:val="decimal"/>
      <w:lvlText w:val=""/>
      <w:lvlJc w:val="left"/>
    </w:lvl>
    <w:lvl w:ilvl="6" w:tplc="B57AAA62">
      <w:numFmt w:val="decimal"/>
      <w:lvlText w:val=""/>
      <w:lvlJc w:val="left"/>
    </w:lvl>
    <w:lvl w:ilvl="7" w:tplc="044C2E8C">
      <w:numFmt w:val="decimal"/>
      <w:lvlText w:val=""/>
      <w:lvlJc w:val="left"/>
    </w:lvl>
    <w:lvl w:ilvl="8" w:tplc="0D8634A6">
      <w:numFmt w:val="decimal"/>
      <w:lvlText w:val=""/>
      <w:lvlJc w:val="left"/>
    </w:lvl>
  </w:abstractNum>
  <w:abstractNum w:abstractNumId="1" w15:restartNumberingAfterBreak="0">
    <w:nsid w:val="63CC45CD"/>
    <w:multiLevelType w:val="hybridMultilevel"/>
    <w:tmpl w:val="0B423410"/>
    <w:lvl w:ilvl="0" w:tplc="9880D3FA">
      <w:start w:val="1"/>
      <w:numFmt w:val="bullet"/>
      <w:lvlText w:val="●"/>
      <w:lvlJc w:val="left"/>
      <w:pPr>
        <w:ind w:left="720" w:hanging="360"/>
      </w:pPr>
    </w:lvl>
    <w:lvl w:ilvl="1" w:tplc="C9AA09F6">
      <w:start w:val="1"/>
      <w:numFmt w:val="bullet"/>
      <w:lvlText w:val="○"/>
      <w:lvlJc w:val="left"/>
      <w:pPr>
        <w:ind w:left="1440" w:hanging="360"/>
      </w:pPr>
    </w:lvl>
    <w:lvl w:ilvl="2" w:tplc="9986104C">
      <w:start w:val="1"/>
      <w:numFmt w:val="bullet"/>
      <w:lvlText w:val="■"/>
      <w:lvlJc w:val="left"/>
      <w:pPr>
        <w:ind w:left="2160" w:hanging="360"/>
      </w:pPr>
    </w:lvl>
    <w:lvl w:ilvl="3" w:tplc="92A2C15A">
      <w:start w:val="1"/>
      <w:numFmt w:val="bullet"/>
      <w:lvlText w:val="●"/>
      <w:lvlJc w:val="left"/>
      <w:pPr>
        <w:ind w:left="2880" w:hanging="360"/>
      </w:pPr>
    </w:lvl>
    <w:lvl w:ilvl="4" w:tplc="4F307538">
      <w:start w:val="1"/>
      <w:numFmt w:val="bullet"/>
      <w:lvlText w:val="○"/>
      <w:lvlJc w:val="left"/>
      <w:pPr>
        <w:ind w:left="3600" w:hanging="360"/>
      </w:pPr>
    </w:lvl>
    <w:lvl w:ilvl="5" w:tplc="846A3C78">
      <w:start w:val="1"/>
      <w:numFmt w:val="bullet"/>
      <w:lvlText w:val="■"/>
      <w:lvlJc w:val="left"/>
      <w:pPr>
        <w:ind w:left="4320" w:hanging="360"/>
      </w:pPr>
    </w:lvl>
    <w:lvl w:ilvl="6" w:tplc="327C2D00">
      <w:start w:val="1"/>
      <w:numFmt w:val="bullet"/>
      <w:lvlText w:val="●"/>
      <w:lvlJc w:val="left"/>
      <w:pPr>
        <w:ind w:left="5040" w:hanging="360"/>
      </w:pPr>
    </w:lvl>
    <w:lvl w:ilvl="7" w:tplc="9CFE24FE">
      <w:start w:val="1"/>
      <w:numFmt w:val="bullet"/>
      <w:lvlText w:val="●"/>
      <w:lvlJc w:val="left"/>
      <w:pPr>
        <w:ind w:left="5760" w:hanging="360"/>
      </w:pPr>
    </w:lvl>
    <w:lvl w:ilvl="8" w:tplc="962C88FE">
      <w:start w:val="1"/>
      <w:numFmt w:val="bullet"/>
      <w:lvlText w:val="●"/>
      <w:lvlJc w:val="left"/>
      <w:pPr>
        <w:ind w:left="6480" w:hanging="360"/>
      </w:pPr>
    </w:lvl>
  </w:abstractNum>
  <w:num w:numId="1" w16cid:durableId="1180855063">
    <w:abstractNumId w:val="1"/>
    <w:lvlOverride w:ilvl="0">
      <w:startOverride w:val="1"/>
    </w:lvlOverride>
  </w:num>
  <w:num w:numId="2" w16cid:durableId="8207744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621"/>
    <w:rsid w:val="003B509C"/>
    <w:rsid w:val="008B1A74"/>
    <w:rsid w:val="00AD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11002"/>
  <w15:docId w15:val="{31F3CA32-BDD5-43EB-B452-4D00AA7DB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575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Tobiloba Osikoya</cp:lastModifiedBy>
  <cp:revision>2</cp:revision>
  <dcterms:created xsi:type="dcterms:W3CDTF">2026-08-21T07:52:00Z</dcterms:created>
  <dcterms:modified xsi:type="dcterms:W3CDTF">2026-08-21T07:58:00Z</dcterms:modified>
</cp:coreProperties>
</file>