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44"/>
          <w:szCs w:val="44"/>
        </w:rPr>
        <w:t xml:space="preserve">NEM Battery Optimization Project</w:t>
      </w:r>
    </w:p>
    <w:p>
      <w:pPr>
        <w:spacing w:after="240"/>
      </w:pPr>
      <w:r>
        <w:rPr>
          <w:color w:val="555555"/>
          <w:sz w:val="26"/>
          <w:szCs w:val="26"/>
        </w:rPr>
        <w:t xml:space="preserve">Project Roadmap &amp; Plan</w:t>
      </w:r>
    </w:p>
    <w:p>
      <w:pPr>
        <w:pBdr>
          <w:bottom w:val="single" w:color="CCCCCC" w:sz="6" w:space="1"/>
        </w:pBdr>
        <w:spacing w:after="240" w:before="120"/>
      </w:pPr>
    </w:p>
    <w:p>
      <w:pPr>
        <w:pStyle w:val="Heading1"/>
        <w:spacing w:after="160" w:before="320"/>
      </w:pPr>
      <w:r>
        <w:rPr>
          <w:b/>
          <w:bCs/>
          <w:color w:val="1F4E5F"/>
        </w:rPr>
        <w:t xml:space="preserve">Project Overview</w:t>
      </w:r>
    </w:p>
    <w:p>
      <w:pPr>
        <w:spacing w:after="140"/>
      </w:pPr>
      <w:r>
        <w:t xml:space="preserve">This project builds a quantitative, LP-based battery dispatch optimizer for the Australian National Electricity Market (NEM), progressively extended in sophistication over the course of an ongoing build. The goal is twofold: to develop genuine quantitative and optimization skills relevant to energy trading roles (e.g. linear programming, market microstructure, forecasting under uncertainty), and to produce a concrete, demonstrable body of work to discuss in interviews — including with Habitat Energy.</w:t>
      </w:r>
    </w:p>
    <w:p>
      <w:pPr>
        <w:spacing w:after="140"/>
      </w:pPr>
      <w:r>
        <w:t xml:space="preserve">Data source: AEMO NEMWEB (historical 5-minute dispatch prices, demand, and generator-level data). Reference/visual inspiration: OpenNEM (opennem.org.au).</w:t>
      </w:r>
    </w:p>
    <w:p>
      <w:pPr>
        <w:pStyle w:val="Heading1"/>
        <w:spacing w:after="160" w:before="320"/>
      </w:pPr>
      <w:r>
        <w:rPr>
          <w:b/>
          <w:bCs/>
          <w:color w:val="1F4E5F"/>
        </w:rPr>
        <w:t xml:space="preserve">Goals</w:t>
      </w:r>
    </w:p>
    <w:p>
      <w:pPr>
        <w:pStyle w:val="ListParagraph"/>
        <w:numPr>
          <w:ilvl w:val="0"/>
          <w:numId w:val="2"/>
        </w:numPr>
        <w:spacing w:after="60"/>
      </w:pPr>
      <w:r>
        <w:t xml:space="preserve">Build genuine, demonstrable quantitative and optimization skills (linear programming, time series modelling, market knowledge).</w:t>
      </w:r>
    </w:p>
    <w:p>
      <w:pPr>
        <w:pStyle w:val="ListParagraph"/>
        <w:numPr>
          <w:ilvl w:val="0"/>
          <w:numId w:val="2"/>
        </w:numPr>
        <w:spacing w:after="60"/>
      </w:pPr>
      <w:r>
        <w:t xml:space="preserve">Produce a concrete project to reference in interviews — including with Habitat Energy — as evidence of sustained initiative.</w:t>
      </w:r>
    </w:p>
    <w:p>
      <w:pPr>
        <w:pStyle w:val="ListParagraph"/>
        <w:numPr>
          <w:ilvl w:val="0"/>
          <w:numId w:val="2"/>
        </w:numPr>
        <w:spacing w:after="60"/>
      </w:pPr>
      <w:r>
        <w:t xml:space="preserve">Connect coursework (Financial Time Series — GARCH, Markov-switching, threshold autoregressive models) to a live, practical problem.</w:t>
      </w:r>
    </w:p>
    <w:p>
      <w:pPr>
        <w:pStyle w:val="ListParagraph"/>
        <w:numPr>
          <w:ilvl w:val="0"/>
          <w:numId w:val="2"/>
        </w:numPr>
        <w:spacing w:after="60"/>
      </w:pPr>
      <w:r>
        <w:t xml:space="preserve">Build iteratively: each phase should be a working, demonstrable milestone in its own right, not just a step toward a final product.</w:t>
      </w:r>
    </w:p>
    <w:p>
      <w:pPr>
        <w:pStyle w:val="Heading1"/>
        <w:spacing w:after="160" w:before="320"/>
      </w:pPr>
      <w:r>
        <w:rPr>
          <w:b/>
          <w:bCs/>
          <w:color w:val="1F4E5F"/>
        </w:rPr>
        <w:t xml:space="preserve">Roadmap</w:t>
      </w:r>
    </w:p>
    <w:p>
      <w:pPr>
        <w:pStyle w:val="Heading2"/>
        <w:spacing w:after="100" w:before="240"/>
      </w:pPr>
      <w:r>
        <w:rPr>
          <w:b/>
          <w:bCs/>
          <w:color w:val="1F4E5F"/>
        </w:rPr>
        <w:t xml:space="preserve">Phase 1 — Battery Arbitrage LP (Foundation)</w:t>
      </w:r>
    </w:p>
    <w:p>
      <w:pPr>
        <w:spacing w:after="60"/>
      </w:pPr>
      <w:r>
        <w:rPr>
          <w:b/>
          <w:bCs/>
        </w:rPr>
        <w:t xml:space="preserve">Estimated time: </w:t>
      </w:r>
      <w:r>
        <w:t xml:space="preserve">2–3 weeks</w:t>
      </w:r>
    </w:p>
    <w:p>
      <w:pPr>
        <w:spacing w:after="140"/>
      </w:pPr>
      <w:r>
        <w:t xml:space="preserve">Build a linear programming model that schedules battery charge/discharge against historical NEM dispatch prices to maximize revenue, assuming perfect foresight of prices.</w:t>
      </w:r>
    </w:p>
    <w:p>
      <w:pPr>
        <w:pStyle w:val="ListParagraph"/>
        <w:numPr>
          <w:ilvl w:val="0"/>
          <w:numId w:val="2"/>
        </w:numPr>
        <w:spacing w:after="60"/>
      </w:pPr>
      <w:r>
        <w:t xml:space="preserve">Pull historical 5-minute dispatch price data from NEMWEB for one region (VIC or SA — both have high volatility from renewables penetration).</w:t>
      </w:r>
    </w:p>
    <w:p>
      <w:pPr>
        <w:pStyle w:val="ListParagraph"/>
        <w:numPr>
          <w:ilvl w:val="0"/>
          <w:numId w:val="2"/>
        </w:numPr>
        <w:spacing w:after="60"/>
      </w:pPr>
      <w:r>
        <w:t xml:space="preserve">Define battery model: power limits (MW), energy capacity (MWh), round-trip efficiency (~90%), state-of-charge bounds.</w:t>
      </w:r>
    </w:p>
    <w:p>
      <w:pPr>
        <w:pStyle w:val="ListParagraph"/>
        <w:numPr>
          <w:ilvl w:val="0"/>
          <w:numId w:val="2"/>
        </w:numPr>
        <w:spacing w:after="60"/>
      </w:pPr>
      <w:r>
        <w:t xml:space="preserve">Formulate and solve the LP using PuLP (or scipy.optimize.linprog) to maximize revenue over a full day, given full knowledge of prices.</w:t>
      </w:r>
    </w:p>
    <w:p>
      <w:pPr>
        <w:pStyle w:val="ListParagraph"/>
        <w:numPr>
          <w:ilvl w:val="0"/>
          <w:numId w:val="2"/>
        </w:numPr>
        <w:spacing w:after="60"/>
      </w:pPr>
      <w:r>
        <w:t xml:space="preserve">Compare against a naive baseline strategy (e.g. fixed time-of-day charging) to quantify the value of optimization.</w:t>
      </w:r>
    </w:p>
    <w:p>
      <w:pPr>
        <w:pStyle w:val="ListParagraph"/>
        <w:numPr>
          <w:ilvl w:val="0"/>
          <w:numId w:val="2"/>
        </w:numPr>
        <w:spacing w:after="60"/>
      </w:pPr>
      <w:r>
        <w:t xml:space="preserve">Output: script(s) + plots of price curve vs. dispatch schedule vs. state of charge, and a revenue comparison table.</w:t>
      </w:r>
    </w:p>
    <w:p>
      <w:pPr>
        <w:pStyle w:val="Heading2"/>
        <w:spacing w:after="100" w:before="240"/>
      </w:pPr>
      <w:r>
        <w:rPr>
          <w:b/>
          <w:bCs/>
          <w:color w:val="1F4E5F"/>
        </w:rPr>
        <w:t xml:space="preserve">Phase 2 — Rolling-Horizon Re-optimization (Realism Pass)</w:t>
      </w:r>
    </w:p>
    <w:p>
      <w:pPr>
        <w:spacing w:after="60"/>
      </w:pPr>
      <w:r>
        <w:rPr>
          <w:b/>
          <w:bCs/>
        </w:rPr>
        <w:t xml:space="preserve">Estimated time: </w:t>
      </w:r>
      <w:r>
        <w:t xml:space="preserve">~2 weeks</w:t>
      </w:r>
    </w:p>
    <w:p>
      <w:pPr>
        <w:spacing w:after="140"/>
      </w:pPr>
      <w:r>
        <w:t xml:space="preserve">Rebuild the Phase 1 optimizer to reflect real trading conditions: at each timestep, only prices up to ‘now’ are known, plus a short-horizon forecast, and the model re-solves as new information arrives.</w:t>
      </w:r>
    </w:p>
    <w:p>
      <w:pPr>
        <w:pStyle w:val="ListParagraph"/>
        <w:numPr>
          <w:ilvl w:val="0"/>
          <w:numId w:val="2"/>
        </w:numPr>
        <w:spacing w:after="60"/>
      </w:pPr>
      <w:r>
        <w:t xml:space="preserve">Implement a rolling/receding horizon loop around the Phase 1 LP.</w:t>
      </w:r>
    </w:p>
    <w:p>
      <w:pPr>
        <w:pStyle w:val="ListParagraph"/>
        <w:numPr>
          <w:ilvl w:val="0"/>
          <w:numId w:val="2"/>
        </w:numPr>
        <w:spacing w:after="60"/>
      </w:pPr>
      <w:r>
        <w:t xml:space="preserve">Start with a naive forecast (e.g. persistence or seasonal/day-of-week average) for the look-ahead window.</w:t>
      </w:r>
    </w:p>
    <w:p>
      <w:pPr>
        <w:pStyle w:val="ListParagraph"/>
        <w:numPr>
          <w:ilvl w:val="0"/>
          <w:numId w:val="2"/>
        </w:numPr>
        <w:spacing w:after="60"/>
      </w:pPr>
      <w:r>
        <w:t xml:space="preserve">Add a degradation cost per cycle to the objective function, forcing a realistic trade-off between small arbitrage opportunities and battery wear.</w:t>
      </w:r>
    </w:p>
    <w:p>
      <w:pPr>
        <w:pStyle w:val="ListParagraph"/>
        <w:numPr>
          <w:ilvl w:val="0"/>
          <w:numId w:val="2"/>
        </w:numPr>
        <w:spacing w:after="60"/>
      </w:pPr>
      <w:r>
        <w:t xml:space="preserve">Compare rolling-horizon results against the Phase 1 perfect-foresight upper bound to quantify the cost of forecast uncertainty.</w:t>
      </w:r>
    </w:p>
    <w:p>
      <w:pPr>
        <w:pStyle w:val="Heading2"/>
        <w:spacing w:after="100" w:before="240"/>
      </w:pPr>
      <w:r>
        <w:rPr>
          <w:b/>
          <w:bCs/>
          <w:color w:val="1F4E5F"/>
        </w:rPr>
        <w:t xml:space="preserve">Phase 3 — Multi-Market Co-optimization (FCAS)</w:t>
      </w:r>
    </w:p>
    <w:p>
      <w:pPr>
        <w:spacing w:after="60"/>
      </w:pPr>
      <w:r>
        <w:rPr>
          <w:b/>
          <w:bCs/>
        </w:rPr>
        <w:t xml:space="preserve">Estimated time: </w:t>
      </w:r>
      <w:r>
        <w:t xml:space="preserve">2–3 weeks</w:t>
      </w:r>
    </w:p>
    <w:p>
      <w:pPr>
        <w:spacing w:after="140"/>
      </w:pPr>
      <w:r>
        <w:t xml:space="preserve">Extend the LP so the battery can simultaneously bid into NEM Frequency Control Ancillary Services (FCAS) markets alongside energy arbitrage, reflecting how real battery assets generate revenue across multiple markets at once.</w:t>
      </w:r>
    </w:p>
    <w:p>
      <w:pPr>
        <w:pStyle w:val="ListParagraph"/>
        <w:numPr>
          <w:ilvl w:val="0"/>
          <w:numId w:val="2"/>
        </w:numPr>
        <w:spacing w:after="60"/>
      </w:pPr>
      <w:r>
        <w:t xml:space="preserve">Add FCAS market constraints and capacity-reservation logic to the LP (capacity must be split/reserved across energy and FCAS markets).</w:t>
      </w:r>
    </w:p>
    <w:p>
      <w:pPr>
        <w:pStyle w:val="ListParagraph"/>
        <w:numPr>
          <w:ilvl w:val="0"/>
          <w:numId w:val="2"/>
        </w:numPr>
        <w:spacing w:after="60"/>
      </w:pPr>
      <w:r>
        <w:t xml:space="preserve">Source historical FCAS price data from NEMWEB.</w:t>
      </w:r>
    </w:p>
    <w:p>
      <w:pPr>
        <w:pStyle w:val="ListParagraph"/>
        <w:numPr>
          <w:ilvl w:val="0"/>
          <w:numId w:val="2"/>
        </w:numPr>
        <w:spacing w:after="60"/>
      </w:pPr>
      <w:r>
        <w:t xml:space="preserve">Evaluate the revenue uplift from co-optimization vs. energy-only arbitrage.</w:t>
      </w:r>
    </w:p>
    <w:p>
      <w:pPr>
        <w:pStyle w:val="Heading2"/>
        <w:spacing w:after="100" w:before="240"/>
      </w:pPr>
      <w:r>
        <w:rPr>
          <w:b/>
          <w:bCs/>
          <w:color w:val="1F4E5F"/>
        </w:rPr>
        <w:t xml:space="preserve">Phase 4 — Volatility &amp; Regime Modelling (GARCH / Markov-Switching)</w:t>
      </w:r>
    </w:p>
    <w:p>
      <w:pPr>
        <w:spacing w:after="60"/>
      </w:pPr>
      <w:r>
        <w:rPr>
          <w:b/>
          <w:bCs/>
        </w:rPr>
        <w:t xml:space="preserve">Estimated time: </w:t>
      </w:r>
      <w:r>
        <w:t xml:space="preserve">Ongoing, tied to Financial Time Series coursework</w:t>
      </w:r>
    </w:p>
    <w:p>
      <w:pPr>
        <w:spacing w:after="140"/>
      </w:pPr>
      <w:r>
        <w:t xml:space="preserve">Apply nonlinear time series methods from the Financial Time Series course directly to NEM price behaviour, using the results to improve the rolling-horizon optimizer’s risk-awareness rather than just its point forecasts.</w:t>
      </w:r>
    </w:p>
    <w:p>
      <w:pPr>
        <w:pStyle w:val="ListParagraph"/>
        <w:numPr>
          <w:ilvl w:val="0"/>
          <w:numId w:val="2"/>
        </w:numPr>
        <w:spacing w:after="60"/>
      </w:pPr>
      <w:r>
        <w:t xml:space="preserve">Fit a GARCH model to capture volatility clustering in NEM prices (prices exhibit sharp spikes and clustered volatility, similar to financial return series).</w:t>
      </w:r>
    </w:p>
    <w:p>
      <w:pPr>
        <w:pStyle w:val="ListParagraph"/>
        <w:numPr>
          <w:ilvl w:val="0"/>
          <w:numId w:val="2"/>
        </w:numPr>
        <w:spacing w:after="60"/>
      </w:pPr>
      <w:r>
        <w:t xml:space="preserve">Explore a Markov-switching model to classify ‘normal’ vs. ‘spike/scarcity’ pricing regimes.</w:t>
      </w:r>
    </w:p>
    <w:p>
      <w:pPr>
        <w:pStyle w:val="ListParagraph"/>
        <w:numPr>
          <w:ilvl w:val="0"/>
          <w:numId w:val="2"/>
        </w:numPr>
        <w:spacing w:after="60"/>
      </w:pPr>
      <w:r>
        <w:t xml:space="preserve">Optionally explore threshold autoregressive models for nonlinear mean-reversion behaviour around price thresholds.</w:t>
      </w:r>
    </w:p>
    <w:p>
      <w:pPr>
        <w:pStyle w:val="ListParagraph"/>
        <w:numPr>
          <w:ilvl w:val="0"/>
          <w:numId w:val="2"/>
        </w:numPr>
        <w:spacing w:after="60"/>
      </w:pPr>
      <w:r>
        <w:t xml:space="preserve">Feed volatility/regime signals into the rolling-horizon optimizer as a risk-adjustment — e.g. sizing how aggressively the battery chases a forecasted spike based on model confidence.</w:t>
      </w:r>
    </w:p>
    <w:p>
      <w:pPr>
        <w:pStyle w:val="ListParagraph"/>
        <w:numPr>
          <w:ilvl w:val="0"/>
          <w:numId w:val="2"/>
        </w:numPr>
        <w:spacing w:after="60"/>
      </w:pPr>
      <w:r>
        <w:t xml:space="preserve">Stretch goal (Phase 5 candidate): combine with a machine learning point-forecast model (e.g. gradient boosting) that uses the GARCH/regime signal as a feature.</w:t>
      </w:r>
    </w:p>
    <w:p>
      <w:pPr>
        <w:pStyle w:val="Heading1"/>
        <w:spacing w:after="160" w:before="320"/>
      </w:pPr>
      <w:r>
        <w:rPr>
          <w:b/>
          <w:bCs/>
          <w:color w:val="1F4E5F"/>
        </w:rPr>
        <w:t xml:space="preserve">Reading List (Background / Downtime)</w:t>
      </w:r>
    </w:p>
    <w:p>
      <w:pPr>
        <w:spacing w:after="140"/>
      </w:pPr>
      <w:r>
        <w:t xml:space="preserve">From UC library search — prioritized by relevance to this project and to energy trading interviews:</w:t>
      </w:r>
    </w:p>
    <w:p>
      <w:pPr>
        <w:pStyle w:val="ListParagraph"/>
        <w:numPr>
          <w:ilvl w:val="0"/>
          <w:numId w:val="2"/>
        </w:numPr>
        <w:spacing w:after="60"/>
      </w:pPr>
      <w:r>
        <w:t xml:space="preserve">Edwards, D.W. — “Energy Trading and Investing” (2017). Highest priority: covers electricity markets, generation stack, storage, secondary electricity markets, mark-to-market accounting, VaR, and hedging. Practitioner-oriented and directly relevant.</w:t>
      </w:r>
    </w:p>
    <w:p>
      <w:pPr>
        <w:pStyle w:val="ListParagraph"/>
        <w:numPr>
          <w:ilvl w:val="0"/>
          <w:numId w:val="2"/>
        </w:numPr>
        <w:spacing w:after="60"/>
      </w:pPr>
      <w:r>
        <w:t xml:space="preserve">Fiorenzani, Ravelli &amp; Edoli — “The Handbook of Energy Trading” (2012). Denser, more quant-heavy (spread options, option pricing). Good for dipping into relevant chapters rather than cover-to-cover.</w:t>
      </w:r>
    </w:p>
    <w:p>
      <w:pPr>
        <w:pStyle w:val="ListParagraph"/>
        <w:numPr>
          <w:ilvl w:val="0"/>
          <w:numId w:val="2"/>
        </w:numPr>
        <w:spacing w:after="60"/>
      </w:pPr>
      <w:r>
        <w:t xml:space="preserve">Bhattacharyya, S.C. — “Energy Economics: Concepts, Issues, Markets, and Governance” (2011). Optional — useful for broader market-structure and governance context, more textbook than practitioner-focused.</w:t>
      </w:r>
    </w:p>
    <w:p>
      <w:pPr>
        <w:pStyle w:val="ListParagraph"/>
        <w:numPr>
          <w:ilvl w:val="0"/>
          <w:numId w:val="2"/>
        </w:numPr>
        <w:spacing w:after="60"/>
      </w:pPr>
      <w:r>
        <w:t xml:space="preserve">Other library results returned (local content requirements, foreign trade law, carbon trading negotiation) are policy/legal-focused and not a priority for this project.</w:t>
      </w:r>
    </w:p>
    <w:p>
      <w:pPr>
        <w:pStyle w:val="Heading1"/>
        <w:spacing w:after="160" w:before="320"/>
      </w:pPr>
      <w:r>
        <w:rPr>
          <w:b/>
          <w:bCs/>
          <w:color w:val="1F4E5F"/>
        </w:rPr>
        <w:t xml:space="preserve">Tech Stack</w:t>
      </w:r>
    </w:p>
    <w:p>
      <w:pPr>
        <w:pStyle w:val="ListParagraph"/>
        <w:numPr>
          <w:ilvl w:val="0"/>
          <w:numId w:val="2"/>
        </w:numPr>
        <w:spacing w:after="60"/>
      </w:pPr>
      <w:r>
        <w:t xml:space="preserve">Python: pandas (data wrangling), PuLP (linear programming), matplotlib / plotly (visualization).</w:t>
      </w:r>
    </w:p>
    <w:p>
      <w:pPr>
        <w:pStyle w:val="ListParagraph"/>
        <w:numPr>
          <w:ilvl w:val="0"/>
          <w:numId w:val="2"/>
        </w:numPr>
        <w:spacing w:after="60"/>
      </w:pPr>
      <w:r>
        <w:t xml:space="preserve">Later phases: arch or statsmodels (GARCH / time series), scikit-learn or a gradient boosting library (optional ML stretch goal).</w:t>
      </w:r>
    </w:p>
    <w:p>
      <w:pPr>
        <w:pStyle w:val="ListParagraph"/>
        <w:numPr>
          <w:ilvl w:val="0"/>
          <w:numId w:val="2"/>
        </w:numPr>
        <w:spacing w:after="60"/>
      </w:pPr>
      <w:r>
        <w:t xml:space="preserve">Data source: AEMO NEMWEB (nemweb.com.au).</w:t>
      </w:r>
    </w:p>
    <w:p>
      <w:pPr>
        <w:pStyle w:val="ListParagraph"/>
        <w:numPr>
          <w:ilvl w:val="0"/>
          <w:numId w:val="2"/>
        </w:numPr>
        <w:spacing w:after="60"/>
      </w:pPr>
      <w:r>
        <w:t xml:space="preserve">Version control: Git + GitHub, with a clear README documenting each phase as it’s completed.</w:t>
      </w:r>
    </w:p>
    <w:p>
      <w:pPr>
        <w:pStyle w:val="Heading1"/>
        <w:spacing w:after="160" w:before="320"/>
      </w:pPr>
      <w:r>
        <w:rPr>
          <w:b/>
          <w:bCs/>
          <w:color w:val="1F4E5F"/>
        </w:rPr>
        <w:t xml:space="preserve">Notes</w:t>
      </w:r>
    </w:p>
    <w:p>
      <w:pPr>
        <w:spacing w:after="140"/>
      </w:pPr>
      <w:r>
        <w:t xml:space="preserve">This roadmap is intentionally staged rather than fixed — each phase is a complete, demonstrable milestone in its own right, so the project has value to show at any point along the way, not only once fully finished. Priorities (e.g. GARCH vs. further ML work in Phase 4/5) can be revisited as the project develops and as coursework progresses.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2026-08-02T05:43:24.103Z</dcterms:created>
  <dcterms:modified xsi:type="dcterms:W3CDTF">2026-08-02T05:43:24.117Z</dcterms:modified>
</cp:coreProperties>
</file>

<file path=docProps/custom.xml><?xml version="1.0" encoding="utf-8"?>
<Properties xmlns="http://schemas.openxmlformats.org/officeDocument/2006/custom-properties" xmlns:vt="http://schemas.openxmlformats.org/officeDocument/2006/docPropsVTypes"/>
</file>