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F4E5F"/>
          <w:sz w:val="44"/>
          <w:szCs w:val="44"/>
        </w:rPr>
        <w:t xml:space="preserve">Battery Arbitrage LP</w:t>
      </w:r>
    </w:p>
    <w:p>
      <w:pPr>
        <w:spacing w:after="240"/>
      </w:pPr>
      <w:r>
        <w:rPr>
          <w:color w:val="555555"/>
          <w:sz w:val="26"/>
          <w:szCs w:val="26"/>
        </w:rPr>
        <w:t xml:space="preserve">Study Guide — Phase 1 (Perfect Foresight)</w:t>
      </w:r>
    </w:p>
    <w:p>
      <w:pPr>
        <w:pBdr>
          <w:bottom w:val="single" w:color="CCCCCC" w:sz="6" w:space="1"/>
        </w:pBdr>
        <w:spacing w:after="240" w:before="120"/>
      </w:pPr>
    </w:p>
    <w:p>
      <w:pPr>
        <w:pStyle w:val="Heading1"/>
        <w:spacing w:after="160" w:before="320"/>
      </w:pPr>
      <w:r>
        <w:rPr>
          <w:b/>
          <w:bCs/>
          <w:color w:val="1F4E5F"/>
        </w:rPr>
        <w:t xml:space="preserve">1. The Problem in Plain English</w:t>
      </w:r>
    </w:p>
    <w:p>
      <w:pPr>
        <w:spacing w:after="140"/>
      </w:pPr>
      <w:r>
        <w:t xml:space="preserve">A battery can buy electricity (charge) when the price is low and sell it back (discharge) when the price is high. Given a full day's worth of known 5-minute prices, what charge/discharge schedule earns the most money — without ever exceeding the battery's power rating, without ever over- or under-filling it, and accounting for the fact that some energy is lost every time it's charged and discharged?</w:t>
      </w:r>
    </w:p>
    <w:p>
      <w:pPr>
        <w:spacing w:after="140"/>
      </w:pPr>
      <w:r>
        <w:t xml:space="preserve">This is a linear program (LP): the objective (revenue) is a linear function of the decision variables (how much to charge/discharge at each time step), and every physical constraint on the battery can be written as a linear inequality or equality. That combination — linear objective, linear constraints — is exactly what makes it solvable quickly and exactly (to global optimality) by an LP solver, even with thousands of time steps.</w:t>
      </w:r>
    </w:p>
    <w:p>
      <w:pPr>
        <w:spacing w:after="140"/>
      </w:pPr>
      <w:r>
        <w:t xml:space="preserve">“Perfect foresight” means Phase 1 assumes you already know the entire day's prices in advance when solving. That's not realistic — real trading only knows the past and a forecast of the future — but it gives an honest upper bound on revenue: no rolling-horizon or forecast-based strategy (Phase 2) can ever beat it, only approach it. That gap is itself a useful number to report later.</w:t>
      </w:r>
    </w:p>
    <w:p>
      <w:pPr>
        <w:pStyle w:val="Heading1"/>
        <w:spacing w:after="160" w:before="320"/>
      </w:pPr>
      <w:r>
        <w:rPr>
          <w:b/>
          <w:bCs/>
          <w:color w:val="1F4E5F"/>
        </w:rPr>
        <w:t xml:space="preserve">2. Decision Variables</w:t>
      </w:r>
    </w:p>
    <w:p>
      <w:pPr>
        <w:spacing w:after="140"/>
      </w:pPr>
      <w:r>
        <w:t xml:space="preserve">At every time step t (t = 1, ..., T, one per 5-minute interval in the dataset), the model chooses:</w:t>
      </w:r>
    </w:p>
    <w:p>
      <w:pPr>
        <w:pStyle w:val="ListParagraph"/>
        <w:numPr>
          <w:ilvl w:val="0"/>
          <w:numId w:val="2"/>
        </w:numPr>
        <w:spacing w:after="60"/>
      </w:pPr>
      <w:r>
        <w:t xml:space="preserve">charge[t] — MW drawn from the grid to charge the battery during interval t (≥ 0)</w:t>
      </w:r>
    </w:p>
    <w:p>
      <w:pPr>
        <w:pStyle w:val="ListParagraph"/>
        <w:numPr>
          <w:ilvl w:val="0"/>
          <w:numId w:val="2"/>
        </w:numPr>
        <w:spacing w:after="60"/>
      </w:pPr>
      <w:r>
        <w:t xml:space="preserve">discharge[t] — MW delivered to the grid from the battery during interval t (≥ 0)</w:t>
      </w:r>
    </w:p>
    <w:p>
      <w:pPr>
        <w:pStyle w:val="ListParagraph"/>
        <w:numPr>
          <w:ilvl w:val="0"/>
          <w:numId w:val="2"/>
        </w:numPr>
        <w:spacing w:after="60"/>
      </w:pPr>
      <w:r>
        <w:t xml:space="preserve">soc[t] — state of charge (MWh stored) at the end of interval t</w:t>
      </w:r>
    </w:p>
    <w:p>
      <w:pPr>
        <w:spacing w:after="140"/>
      </w:pPr>
      <w:r>
        <w:t xml:space="preserve">Charge and discharge are modelled as two separate non-negative variables, rather than one variable that can go positive or negative, because efficiency losses apply differently depending on direction — keeping them separate keeps the efficiency term linear (see §4).</w:t>
      </w:r>
    </w:p>
    <w:p>
      <w:pPr>
        <w:pStyle w:val="Heading1"/>
        <w:spacing w:after="160" w:before="320"/>
      </w:pPr>
      <w:r>
        <w:rPr>
          <w:b/>
          <w:bCs/>
          <w:color w:val="1F4E5F"/>
        </w:rPr>
        <w:t xml:space="preserve">3. Objective Function</w:t>
      </w:r>
    </w:p>
    <w:p>
      <w:pPr>
        <w:spacing w:after="140"/>
      </w:pPr>
      <w:r>
        <w:t xml:space="preserve">Maximize total revenue over the horizon: money earned from discharging, minus money spent charging.</w:t>
      </w:r>
    </w:p>
    <w:p>
      <w:pPr>
        <w:spacing w:after="160" w:before="60"/>
        <w:jc w:val="center"/>
      </w:pPr>
      <w:r>
        <w:rPr>
          <w:i/>
          <w:iCs/>
          <w:sz w:val="24"/>
          <w:szCs w:val="24"/>
        </w:rPr>
        <w:t xml:space="preserve">maximize Σₜ ( price[t] × discharge[t] − price[t] × charge[t] ) × (5/60)</w:t>
      </w:r>
    </w:p>
    <w:p>
      <w:pPr>
        <w:spacing w:after="140"/>
      </w:pPr>
      <w:r>
        <w:t xml:space="preserve">The (5/60) converts MW (a power, i.e. a rate) over a 5-minute interval into MWh (an energy) so that multiplying by $/MWh gives dollars. Get this conversion wrong and every number downstream is off by a factor of 12 — worth triple-checking once the code is running.</w:t>
      </w:r>
    </w:p>
    <w:p>
      <w:pPr>
        <w:pStyle w:val="Heading1"/>
        <w:spacing w:after="160" w:before="320"/>
      </w:pPr>
      <w:r>
        <w:rPr>
          <w:b/>
          <w:bCs/>
          <w:color w:val="1F4E5F"/>
        </w:rPr>
        <w:t xml:space="preserve">4. Constraints</w:t>
      </w:r>
    </w:p>
    <w:p>
      <w:pPr>
        <w:pStyle w:val="Heading2"/>
        <w:spacing w:after="100" w:before="240"/>
      </w:pPr>
      <w:r>
        <w:rPr>
          <w:b/>
          <w:bCs/>
          <w:color w:val="1F4E5F"/>
        </w:rPr>
        <w:t xml:space="preserve">4.1 Power limits</w:t>
      </w:r>
    </w:p>
    <w:p>
      <w:pPr>
        <w:spacing w:after="140"/>
      </w:pPr>
      <w:r>
        <w:t xml:space="preserve">The battery can't charge or discharge faster than its rated power, P_max (MW):</w:t>
      </w:r>
    </w:p>
    <w:p>
      <w:pPr>
        <w:spacing w:after="160" w:before="60"/>
        <w:jc w:val="center"/>
      </w:pPr>
      <w:r>
        <w:rPr>
          <w:i/>
          <w:iCs/>
          <w:sz w:val="24"/>
          <w:szCs w:val="24"/>
        </w:rPr>
        <w:t xml:space="preserve">0 ≤ charge[t] ≤ P_max        0 ≤ discharge[t] ≤ P_max</w:t>
      </w:r>
    </w:p>
    <w:p>
      <w:pPr>
        <w:pStyle w:val="Heading2"/>
        <w:spacing w:after="100" w:before="240"/>
      </w:pPr>
      <w:r>
        <w:rPr>
          <w:b/>
          <w:bCs/>
          <w:color w:val="1F4E5F"/>
        </w:rPr>
        <w:t xml:space="preserve">4.2 State-of-charge bounds</w:t>
      </w:r>
    </w:p>
    <w:p>
      <w:pPr>
        <w:spacing w:after="140"/>
      </w:pPr>
      <w:r>
        <w:t xml:space="preserve">The battery can't be filled beyond its usable capacity or drained below empty (or below a minimum reserve, if modelled):</w:t>
      </w:r>
    </w:p>
    <w:p>
      <w:pPr>
        <w:spacing w:after="160" w:before="60"/>
        <w:jc w:val="center"/>
      </w:pPr>
      <w:r>
        <w:rPr>
          <w:i/>
          <w:iCs/>
          <w:sz w:val="24"/>
          <w:szCs w:val="24"/>
        </w:rPr>
        <w:t xml:space="preserve">SOC_min ≤ soc[t] ≤ SOC_max</w:t>
      </w:r>
    </w:p>
    <w:p>
      <w:pPr>
        <w:pStyle w:val="Heading2"/>
        <w:spacing w:after="100" w:before="240"/>
      </w:pPr>
      <w:r>
        <w:rPr>
          <w:b/>
          <w:bCs/>
          <w:color w:val="1F4E5F"/>
        </w:rPr>
        <w:t xml:space="preserve">4.3 Energy balance (the key constraint)</w:t>
      </w:r>
    </w:p>
    <w:p>
      <w:pPr>
        <w:spacing w:after="140"/>
      </w:pPr>
      <w:r>
        <w:t xml:space="preserve">This is the constraint that actually links time steps together — without it the LP would just treat every interval independently, which is meaningless for a battery with memory. Charging adds energy (minus losses); discharging removes energy (the battery has to supply more than reaches the grid, again due to losses):</w:t>
      </w:r>
    </w:p>
    <w:p>
      <w:pPr>
        <w:spacing w:after="160" w:before="60"/>
        <w:jc w:val="center"/>
      </w:pPr>
      <w:r>
        <w:rPr>
          <w:i/>
          <w:iCs/>
          <w:sz w:val="24"/>
          <w:szCs w:val="24"/>
        </w:rPr>
        <w:t xml:space="preserve">soc[t] = soc[t−1] + charge[t] × √η × (5/60) − discharge[t] / √η × (5/60)</w:t>
      </w:r>
    </w:p>
    <w:p>
      <w:pPr>
        <w:spacing w:after="140"/>
      </w:pPr>
      <w:r>
        <w:t xml:space="preserve">η (eta) is round-trip efficiency (e.g. 0.90 for 90%). Splitting it as √η on the way in and √η on the way out (rather than applying the full loss on just one side) is the standard modelling choice — it reflects that losses occur both charging and discharging, and keeps the two directions symmetric.</w:t>
      </w:r>
    </w:p>
    <w:p>
      <w:pPr>
        <w:pStyle w:val="Heading2"/>
        <w:spacing w:after="100" w:before="240"/>
      </w:pPr>
      <w:r>
        <w:rPr>
          <w:b/>
          <w:bCs/>
          <w:color w:val="1F4E5F"/>
        </w:rPr>
        <w:t xml:space="preserve">4.4 (Phase 2 preview) Degradation cost</w:t>
      </w:r>
    </w:p>
    <w:p>
      <w:pPr>
        <w:spacing w:after="140"/>
      </w:pPr>
      <w:r>
        <w:t xml:space="preserve">Not part of Phase 1, but worth knowing it's coming: every MWh cycled through the battery causes some wear. This is usually added as an extra cost term in the objective (a $/MWh_cycled penalty), which naturally discourages the model from chasing tiny, marginal price differences that aren't worth the battery wear — a much more realistic revenue figure than Phase 1's frictionless version.</w:t>
      </w:r>
    </w:p>
    <w:p>
      <w:pPr>
        <w:pStyle w:val="Heading1"/>
        <w:spacing w:after="160" w:before="320"/>
      </w:pPr>
      <w:r>
        <w:rPr>
          <w:b/>
          <w:bCs/>
          <w:color w:val="1F4E5F"/>
        </w:rPr>
        <w:t xml:space="preserve">5. Why This Is a Linear Program (and Not Something Harder)</w:t>
      </w:r>
    </w:p>
    <w:p>
      <w:pPr>
        <w:pStyle w:val="ListParagraph"/>
        <w:numPr>
          <w:ilvl w:val="0"/>
          <w:numId w:val="2"/>
        </w:numPr>
        <w:spacing w:after="60"/>
      </w:pPr>
      <w:r>
        <w:t xml:space="preserve">The objective is a straight sum of (price × variable) terms — linear in the decision variables.</w:t>
      </w:r>
    </w:p>
    <w:p>
      <w:pPr>
        <w:pStyle w:val="ListParagraph"/>
        <w:numPr>
          <w:ilvl w:val="0"/>
          <w:numId w:val="2"/>
        </w:numPr>
        <w:spacing w:after="60"/>
      </w:pPr>
      <w:r>
        <w:t xml:space="preserve">Every constraint above is a linear inequality or equality — no products of two decision variables, no squares, no if/else logic.</w:t>
      </w:r>
    </w:p>
    <w:p>
      <w:pPr>
        <w:pStyle w:val="ListParagraph"/>
        <w:numPr>
          <w:ilvl w:val="0"/>
          <w:numId w:val="2"/>
        </w:numPr>
        <w:spacing w:after="60"/>
      </w:pPr>
      <w:r>
        <w:t xml:space="preserve">One subtlety: nothing in the LP as written stops the solver from charging and discharging in the same interval simultaneously (which would be physically meaningless and would just burn money through efficiency losses for no reason). In practice the solver won't choose to do this anyway, because it's never profitable — but it's worth being able to explain this reasoning if asked, rather than assuming it needs an explicit binary constraint to rule out (which would turn this into a harder mixed-integer program).</w:t>
      </w:r>
    </w:p>
    <w:p>
      <w:pPr>
        <w:pStyle w:val="Heading1"/>
        <w:spacing w:after="160" w:before="320"/>
      </w:pPr>
      <w:r>
        <w:rPr>
          <w:b/>
          <w:bCs/>
          <w:color w:val="1F4E5F"/>
        </w:rPr>
        <w:t xml:space="preserve">6. Mapping This to PuLP</w:t>
      </w:r>
    </w:p>
    <w:p>
      <w:pPr>
        <w:spacing w:after="140"/>
      </w:pPr>
      <w:r>
        <w:t xml:space="preserve">Rough shape of the implementation (not final code — for orientation before we write the real module):</w:t>
      </w:r>
    </w:p>
    <w:p>
      <w:pPr>
        <w:shd w:fill="F2F2F2" w:color="auto" w:val="clear"/>
        <w:spacing w:after="160"/>
      </w:pPr>
      <w:r>
        <w:rPr>
          <w:rFonts w:ascii="Courier New" w:cs="Courier New" w:eastAsia="Courier New" w:hAnsi="Courier New"/>
          <w:sz w:val="20"/>
          <w:szCs w:val="20"/>
        </w:rPr>
        <w:t xml:space="preserve">import pulp</w:t>
      </w:r>
      <w:r>
        <w:rPr>
          <w:rFonts w:ascii="Courier New" w:cs="Courier New" w:eastAsia="Courier New" w:hAnsi="Courier New"/>
          <w:sz w:val="20"/>
          <w:szCs w:val="20"/>
        </w:rPr>
        <w:br/>
        <w:t xml:space="preserve"/>
      </w:r>
      <w:r>
        <w:rPr>
          <w:rFonts w:ascii="Courier New" w:cs="Courier New" w:eastAsia="Courier New" w:hAnsi="Courier New"/>
          <w:sz w:val="20"/>
          <w:szCs w:val="20"/>
        </w:rPr>
        <w:br/>
        <w:t xml:space="preserve">model = pulp.LpProblem("battery_arbitrage", pulp.LpMaximize)</w:t>
      </w:r>
      <w:r>
        <w:rPr>
          <w:rFonts w:ascii="Courier New" w:cs="Courier New" w:eastAsia="Courier New" w:hAnsi="Courier New"/>
          <w:sz w:val="20"/>
          <w:szCs w:val="20"/>
        </w:rPr>
        <w:br/>
        <w:t xml:space="preserve"/>
      </w:r>
      <w:r>
        <w:rPr>
          <w:rFonts w:ascii="Courier New" w:cs="Courier New" w:eastAsia="Courier New" w:hAnsi="Courier New"/>
          <w:sz w:val="20"/>
          <w:szCs w:val="20"/>
        </w:rPr>
        <w:br/>
        <w:t xml:space="preserve">charge = pulp.LpVariable.dicts("charge", timesteps, lowBound=0, upBound=P_max)</w:t>
      </w:r>
      <w:r>
        <w:rPr>
          <w:rFonts w:ascii="Courier New" w:cs="Courier New" w:eastAsia="Courier New" w:hAnsi="Courier New"/>
          <w:sz w:val="20"/>
          <w:szCs w:val="20"/>
        </w:rPr>
        <w:br/>
        <w:t xml:space="preserve">discharge = pulp.LpVariable.dicts("discharge", timesteps, lowBound=0, upBound=P_max)</w:t>
      </w:r>
      <w:r>
        <w:rPr>
          <w:rFonts w:ascii="Courier New" w:cs="Courier New" w:eastAsia="Courier New" w:hAnsi="Courier New"/>
          <w:sz w:val="20"/>
          <w:szCs w:val="20"/>
        </w:rPr>
        <w:br/>
        <w:t xml:space="preserve">soc = pulp.LpVariable.dicts("soc", timesteps, lowBound=SOC_min, upBound=SOC_max)</w:t>
      </w:r>
      <w:r>
        <w:rPr>
          <w:rFonts w:ascii="Courier New" w:cs="Courier New" w:eastAsia="Courier New" w:hAnsi="Courier New"/>
          <w:sz w:val="20"/>
          <w:szCs w:val="20"/>
        </w:rPr>
        <w:br/>
        <w:t xml:space="preserve"/>
      </w:r>
      <w:r>
        <w:rPr>
          <w:rFonts w:ascii="Courier New" w:cs="Courier New" w:eastAsia="Courier New" w:hAnsi="Courier New"/>
          <w:sz w:val="20"/>
          <w:szCs w:val="20"/>
        </w:rPr>
        <w:br/>
        <w:t xml:space="preserve">model += pulp.lpSum(</w:t>
      </w:r>
      <w:r>
        <w:rPr>
          <w:rFonts w:ascii="Courier New" w:cs="Courier New" w:eastAsia="Courier New" w:hAnsi="Courier New"/>
          <w:sz w:val="20"/>
          <w:szCs w:val="20"/>
        </w:rPr>
        <w:br/>
        <w:t xml:space="preserve">    (price[t] * discharge[t] - price[t] * charge[t]) * (5/60)</w:t>
      </w:r>
      <w:r>
        <w:rPr>
          <w:rFonts w:ascii="Courier New" w:cs="Courier New" w:eastAsia="Courier New" w:hAnsi="Courier New"/>
          <w:sz w:val="20"/>
          <w:szCs w:val="20"/>
        </w:rPr>
        <w:br/>
        <w:t xml:space="preserve">    for t in timesteps</w:t>
      </w:r>
      <w:r>
        <w:rPr>
          <w:rFonts w:ascii="Courier New" w:cs="Courier New" w:eastAsia="Courier New" w:hAnsi="Courier New"/>
          <w:sz w:val="20"/>
          <w:szCs w:val="20"/>
        </w:rPr>
        <w:br/>
        <w:t xml:space="preserve">)</w:t>
      </w:r>
      <w:r>
        <w:rPr>
          <w:rFonts w:ascii="Courier New" w:cs="Courier New" w:eastAsia="Courier New" w:hAnsi="Courier New"/>
          <w:sz w:val="20"/>
          <w:szCs w:val="20"/>
        </w:rPr>
        <w:br/>
        <w:t xml:space="preserve"/>
      </w:r>
      <w:r>
        <w:rPr>
          <w:rFonts w:ascii="Courier New" w:cs="Courier New" w:eastAsia="Courier New" w:hAnsi="Courier New"/>
          <w:sz w:val="20"/>
          <w:szCs w:val="20"/>
        </w:rPr>
        <w:br/>
        <w:t xml:space="preserve">for t in timesteps:</w:t>
      </w:r>
      <w:r>
        <w:rPr>
          <w:rFonts w:ascii="Courier New" w:cs="Courier New" w:eastAsia="Courier New" w:hAnsi="Courier New"/>
          <w:sz w:val="20"/>
          <w:szCs w:val="20"/>
        </w:rPr>
        <w:br/>
        <w:t xml:space="preserve">    model += soc[t] == soc[t-1] + charge[t]*sqrt(eta)*(5/60) - discharge[t]/sqrt(eta)*(5/60)</w:t>
      </w:r>
      <w:r>
        <w:rPr>
          <w:rFonts w:ascii="Courier New" w:cs="Courier New" w:eastAsia="Courier New" w:hAnsi="Courier New"/>
          <w:sz w:val="20"/>
          <w:szCs w:val="20"/>
        </w:rPr>
        <w:br/>
        <w:t xml:space="preserve"/>
      </w:r>
      <w:r>
        <w:rPr>
          <w:rFonts w:ascii="Courier New" w:cs="Courier New" w:eastAsia="Courier New" w:hAnsi="Courier New"/>
          <w:sz w:val="20"/>
          <w:szCs w:val="20"/>
        </w:rPr>
        <w:br/>
        <w:t xml:space="preserve">model.solve()</w:t>
      </w:r>
    </w:p>
    <w:p>
      <w:pPr>
        <w:spacing w:after="140"/>
      </w:pPr>
      <w:r>
        <w:t xml:space="preserve">PuLP builds this up as Python objects, hands it to a solver (CBC, bundled by default, is fine for a problem this size), and the solver returns the optimal value of every variable — i.e. the exact charge/discharge schedule to use at every 5-minute interval.</w:t>
      </w:r>
    </w:p>
    <w:p>
      <w:pPr>
        <w:pStyle w:val="Heading1"/>
        <w:spacing w:after="160" w:before="320"/>
      </w:pPr>
      <w:r>
        <w:rPr>
          <w:b/>
          <w:bCs/>
          <w:color w:val="1F4E5F"/>
        </w:rPr>
        <w:t xml:space="preserve">7. Glossary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400"/>
            <w:tcMar>
              <w:top w:type="dxa" w:w="80"/>
              <w:left w:type="dxa" w:w="100"/>
              <w:bottom w:type="dxa" w:w="80"/>
              <w:right w:type="dxa" w:w="100"/>
            </w:tcMar>
          </w:tcPr>
          <w:p>
            <w:r>
              <w:rPr>
                <w:b/>
                <w:bCs/>
              </w:rPr>
              <w:t xml:space="preserve">LP (Linear Program)</w:t>
            </w:r>
          </w:p>
        </w:tc>
        <w:tc>
          <w:tcPr>
            <w:tcW w:type="dxa" w:w="6600"/>
            <w:tcMar>
              <w:top w:type="dxa" w:w="80"/>
              <w:left w:type="dxa" w:w="100"/>
              <w:bottom w:type="dxa" w:w="80"/>
              <w:right w:type="dxa" w:w="100"/>
            </w:tcMar>
          </w:tcPr>
          <w:p>
            <w:r>
              <w:t xml:space="preserve">An optimization problem with a linear objective and linear constraints. Solvable exactly and efficiently, even at large scale.</w:t>
            </w:r>
          </w:p>
        </w:tc>
      </w:tr>
      <w:tr>
        <w:tc>
          <w:tcPr>
            <w:tcW w:type="dxa" w:w="2400"/>
            <w:tcMar>
              <w:top w:type="dxa" w:w="80"/>
              <w:left w:type="dxa" w:w="100"/>
              <w:bottom w:type="dxa" w:w="80"/>
              <w:right w:type="dxa" w:w="100"/>
            </w:tcMar>
          </w:tcPr>
          <w:p>
            <w:r>
              <w:rPr>
                <w:b/>
                <w:bCs/>
              </w:rPr>
              <w:t xml:space="preserve">Decision variable</w:t>
            </w:r>
          </w:p>
        </w:tc>
        <w:tc>
          <w:tcPr>
            <w:tcW w:type="dxa" w:w="6600"/>
            <w:tcMar>
              <w:top w:type="dxa" w:w="80"/>
              <w:left w:type="dxa" w:w="100"/>
              <w:bottom w:type="dxa" w:w="80"/>
              <w:right w:type="dxa" w:w="100"/>
            </w:tcMar>
          </w:tcPr>
          <w:p>
            <w:r>
              <w:t xml:space="preserve">A quantity the solver is free to choose (here: charge[t], discharge[t], soc[t] at every timestep).</w:t>
            </w:r>
          </w:p>
        </w:tc>
      </w:tr>
      <w:tr>
        <w:tc>
          <w:tcPr>
            <w:tcW w:type="dxa" w:w="2400"/>
            <w:tcMar>
              <w:top w:type="dxa" w:w="80"/>
              <w:left w:type="dxa" w:w="100"/>
              <w:bottom w:type="dxa" w:w="80"/>
              <w:right w:type="dxa" w:w="100"/>
            </w:tcMar>
          </w:tcPr>
          <w:p>
            <w:r>
              <w:rPr>
                <w:b/>
                <w:bCs/>
              </w:rPr>
              <w:t xml:space="preserve">Objective function</w:t>
            </w:r>
          </w:p>
        </w:tc>
        <w:tc>
          <w:tcPr>
            <w:tcW w:type="dxa" w:w="6600"/>
            <w:tcMar>
              <w:top w:type="dxa" w:w="80"/>
              <w:left w:type="dxa" w:w="100"/>
              <w:bottom w:type="dxa" w:w="80"/>
              <w:right w:type="dxa" w:w="100"/>
            </w:tcMar>
          </w:tcPr>
          <w:p>
            <w:r>
              <w:t xml:space="preserve">The linear expression being maximized or minimized — here, total revenue.</w:t>
            </w:r>
          </w:p>
        </w:tc>
      </w:tr>
      <w:tr>
        <w:tc>
          <w:tcPr>
            <w:tcW w:type="dxa" w:w="2400"/>
            <w:tcMar>
              <w:top w:type="dxa" w:w="80"/>
              <w:left w:type="dxa" w:w="100"/>
              <w:bottom w:type="dxa" w:w="80"/>
              <w:right w:type="dxa" w:w="100"/>
            </w:tcMar>
          </w:tcPr>
          <w:p>
            <w:r>
              <w:rPr>
                <w:b/>
                <w:bCs/>
              </w:rPr>
              <w:t xml:space="preserve">Constraint</w:t>
            </w:r>
          </w:p>
        </w:tc>
        <w:tc>
          <w:tcPr>
            <w:tcW w:type="dxa" w:w="6600"/>
            <w:tcMar>
              <w:top w:type="dxa" w:w="80"/>
              <w:left w:type="dxa" w:w="100"/>
              <w:bottom w:type="dxa" w:w="80"/>
              <w:right w:type="dxa" w:w="100"/>
            </w:tcMar>
          </w:tcPr>
          <w:p>
            <w:r>
              <w:t xml:space="preserve">A linear equation/inequality the solution must satisfy (power limits, SOC bounds, energy balance).</w:t>
            </w:r>
          </w:p>
        </w:tc>
      </w:tr>
      <w:tr>
        <w:tc>
          <w:tcPr>
            <w:tcW w:type="dxa" w:w="2400"/>
            <w:tcMar>
              <w:top w:type="dxa" w:w="80"/>
              <w:left w:type="dxa" w:w="100"/>
              <w:bottom w:type="dxa" w:w="80"/>
              <w:right w:type="dxa" w:w="100"/>
            </w:tcMar>
          </w:tcPr>
          <w:p>
            <w:r>
              <w:rPr>
                <w:b/>
                <w:bCs/>
              </w:rPr>
              <w:t xml:space="preserve">State of charge (SOC)</w:t>
            </w:r>
          </w:p>
        </w:tc>
        <w:tc>
          <w:tcPr>
            <w:tcW w:type="dxa" w:w="6600"/>
            <w:tcMar>
              <w:top w:type="dxa" w:w="80"/>
              <w:left w:type="dxa" w:w="100"/>
              <w:bottom w:type="dxa" w:w="80"/>
              <w:right w:type="dxa" w:w="100"/>
            </w:tcMar>
          </w:tcPr>
          <w:p>
            <w:r>
              <w:t xml:space="preserve">Energy currently stored in the battery, in MWh.</w:t>
            </w:r>
          </w:p>
        </w:tc>
      </w:tr>
      <w:tr>
        <w:tc>
          <w:tcPr>
            <w:tcW w:type="dxa" w:w="2400"/>
            <w:tcMar>
              <w:top w:type="dxa" w:w="80"/>
              <w:left w:type="dxa" w:w="100"/>
              <w:bottom w:type="dxa" w:w="80"/>
              <w:right w:type="dxa" w:w="100"/>
            </w:tcMar>
          </w:tcPr>
          <w:p>
            <w:r>
              <w:rPr>
                <w:b/>
                <w:bCs/>
              </w:rPr>
              <w:t xml:space="preserve">Round-trip efficiency (η)</w:t>
            </w:r>
          </w:p>
        </w:tc>
        <w:tc>
          <w:tcPr>
            <w:tcW w:type="dxa" w:w="6600"/>
            <w:tcMar>
              <w:top w:type="dxa" w:w="80"/>
              <w:left w:type="dxa" w:w="100"/>
              <w:bottom w:type="dxa" w:w="80"/>
              <w:right w:type="dxa" w:w="100"/>
            </w:tcMar>
          </w:tcPr>
          <w:p>
            <w:r>
              <w:t xml:space="preserve">Fraction of energy recovered after a full charge/discharge cycle; the rest is lost as heat.</w:t>
            </w:r>
          </w:p>
        </w:tc>
      </w:tr>
      <w:tr>
        <w:tc>
          <w:tcPr>
            <w:tcW w:type="dxa" w:w="2400"/>
            <w:tcMar>
              <w:top w:type="dxa" w:w="80"/>
              <w:left w:type="dxa" w:w="100"/>
              <w:bottom w:type="dxa" w:w="80"/>
              <w:right w:type="dxa" w:w="100"/>
            </w:tcMar>
          </w:tcPr>
          <w:p>
            <w:r>
              <w:rPr>
                <w:b/>
                <w:bCs/>
              </w:rPr>
              <w:t xml:space="preserve">RRP</w:t>
            </w:r>
          </w:p>
        </w:tc>
        <w:tc>
          <w:tcPr>
            <w:tcW w:type="dxa" w:w="6600"/>
            <w:tcMar>
              <w:top w:type="dxa" w:w="80"/>
              <w:left w:type="dxa" w:w="100"/>
              <w:bottom w:type="dxa" w:w="80"/>
              <w:right w:type="dxa" w:w="100"/>
            </w:tcMar>
          </w:tcPr>
          <w:p>
            <w:r>
              <w:t xml:space="preserve">Regional Reference Price — AEMO's term for the wholesale spot price ($/MWh) in a given NEM region.</w:t>
            </w:r>
          </w:p>
        </w:tc>
      </w:tr>
      <w:tr>
        <w:tc>
          <w:tcPr>
            <w:tcW w:type="dxa" w:w="2400"/>
            <w:tcMar>
              <w:top w:type="dxa" w:w="80"/>
              <w:left w:type="dxa" w:w="100"/>
              <w:bottom w:type="dxa" w:w="80"/>
              <w:right w:type="dxa" w:w="100"/>
            </w:tcMar>
          </w:tcPr>
          <w:p>
            <w:r>
              <w:rPr>
                <w:b/>
                <w:bCs/>
              </w:rPr>
              <w:t xml:space="preserve">Perfect foresight</w:t>
            </w:r>
          </w:p>
        </w:tc>
        <w:tc>
          <w:tcPr>
            <w:tcW w:type="dxa" w:w="6600"/>
            <w:tcMar>
              <w:top w:type="dxa" w:w="80"/>
              <w:left w:type="dxa" w:w="100"/>
              <w:bottom w:type="dxa" w:w="80"/>
              <w:right w:type="dxa" w:w="100"/>
            </w:tcMar>
          </w:tcPr>
          <w:p>
            <w:r>
              <w:t xml:space="preserve">Modelling assumption that all future prices are known when solving — gives an upper-bound benchmark, not a realistic strategy.</w:t>
            </w:r>
          </w:p>
        </w:tc>
      </w:tr>
      <w:tr>
        <w:tc>
          <w:tcPr>
            <w:tcW w:type="dxa" w:w="2400"/>
            <w:tcMar>
              <w:top w:type="dxa" w:w="80"/>
              <w:left w:type="dxa" w:w="100"/>
              <w:bottom w:type="dxa" w:w="80"/>
              <w:right w:type="dxa" w:w="100"/>
            </w:tcMar>
          </w:tcPr>
          <w:p>
            <w:r>
              <w:rPr>
                <w:b/>
                <w:bCs/>
              </w:rPr>
              <w:t xml:space="preserve">Solver (e.g. CBC)</w:t>
            </w:r>
          </w:p>
        </w:tc>
        <w:tc>
          <w:tcPr>
            <w:tcW w:type="dxa" w:w="6600"/>
            <w:tcMar>
              <w:top w:type="dxa" w:w="80"/>
              <w:left w:type="dxa" w:w="100"/>
              <w:bottom w:type="dxa" w:w="80"/>
              <w:right w:type="dxa" w:w="100"/>
            </w:tcMar>
          </w:tcPr>
          <w:p>
            <w:r>
              <w:t xml:space="preserve">The underlying numerical engine that actually finds the optimal variable values given the objective and constraints.</w:t>
            </w:r>
          </w:p>
        </w:tc>
      </w:tr>
    </w:tbl>
    <w:p>
      <w:pPr>
        <w:pStyle w:val="Heading1"/>
        <w:spacing w:after="160" w:before="320"/>
      </w:pPr>
      <w:r>
        <w:rPr>
          <w:b/>
          <w:bCs/>
          <w:color w:val="1F4E5F"/>
        </w:rPr>
        <w:t xml:space="preserve">8. Questions Worth Being Able to Answer</w:t>
      </w:r>
    </w:p>
    <w:p>
      <w:pPr>
        <w:spacing w:after="140"/>
      </w:pPr>
      <w:r>
        <w:t xml:space="preserve">Good self-test before (or after) building the code — and good material for an interview conversation:</w:t>
      </w:r>
    </w:p>
    <w:p>
      <w:pPr>
        <w:pStyle w:val="ListParagraph"/>
        <w:numPr>
          <w:ilvl w:val="0"/>
          <w:numId w:val="2"/>
        </w:numPr>
        <w:spacing w:after="60"/>
      </w:pPr>
      <w:r>
        <w:t xml:space="preserve">Why split charge/discharge into two separate non-negative variables instead of one signed variable?</w:t>
      </w:r>
    </w:p>
    <w:p>
      <w:pPr>
        <w:pStyle w:val="ListParagraph"/>
        <w:numPr>
          <w:ilvl w:val="0"/>
          <w:numId w:val="2"/>
        </w:numPr>
        <w:spacing w:after="60"/>
      </w:pPr>
      <w:r>
        <w:t xml:space="preserve">Why does the energy balance constraint use √η on each side instead of applying all losses on one side?</w:t>
      </w:r>
    </w:p>
    <w:p>
      <w:pPr>
        <w:pStyle w:val="ListParagraph"/>
        <w:numPr>
          <w:ilvl w:val="0"/>
          <w:numId w:val="2"/>
        </w:numPr>
        <w:spacing w:after="60"/>
      </w:pPr>
      <w:r>
        <w:t xml:space="preserve">What would happen to the schedule if round-trip efficiency were 100%? Sketch how the answer would change qualitatively.</w:t>
      </w:r>
    </w:p>
    <w:p>
      <w:pPr>
        <w:pStyle w:val="ListParagraph"/>
        <w:numPr>
          <w:ilvl w:val="0"/>
          <w:numId w:val="2"/>
        </w:numPr>
        <w:spacing w:after="60"/>
      </w:pPr>
      <w:r>
        <w:t xml:space="preserve">Why is a perfect-foresight solution an upper bound, and roughly how much worse would you expect a real (rolling-horizon) strategy to perform, intuitively, before running it?</w:t>
      </w:r>
    </w:p>
    <w:p>
      <w:pPr>
        <w:pStyle w:val="ListParagraph"/>
        <w:numPr>
          <w:ilvl w:val="0"/>
          <w:numId w:val="2"/>
        </w:numPr>
        <w:spacing w:after="60"/>
      </w:pPr>
      <w:r>
        <w:t xml:space="preserve">What's the effect of a smaller P_max (power rating) relative to SOC_max (energy capacity) on the shape of the optimal schedule?</w:t>
      </w:r>
    </w:p>
    <w:p>
      <w:pPr>
        <w:pStyle w:val="Heading1"/>
        <w:spacing w:after="160" w:before="320"/>
      </w:pPr>
      <w:r>
        <w:rPr>
          <w:b/>
          <w:bCs/>
          <w:color w:val="1F4E5F"/>
        </w:rPr>
        <w:t xml:space="preserve">9. Further Reading</w:t>
      </w:r>
    </w:p>
    <w:p>
      <w:pPr>
        <w:pStyle w:val="ListParagraph"/>
        <w:numPr>
          <w:ilvl w:val="0"/>
          <w:numId w:val="2"/>
        </w:numPr>
        <w:spacing w:after="60"/>
      </w:pPr>
      <w:r>
        <w:t xml:space="preserve">PuLP documentation — coin-or.github.io/pulp — for LpVariable, LpProblem, and solver options.</w:t>
      </w:r>
    </w:p>
    <w:p>
      <w:pPr>
        <w:pStyle w:val="ListParagraph"/>
        <w:numPr>
          <w:ilvl w:val="0"/>
          <w:numId w:val="2"/>
        </w:numPr>
        <w:spacing w:after="60"/>
      </w:pPr>
      <w:r>
        <w:t xml:space="preserve">Edwards, “Energy Trading and Investing”, ch. on electricity storage — practitioner framing of storage economics.</w:t>
      </w:r>
    </w:p>
    <w:p>
      <w:pPr>
        <w:pStyle w:val="ListParagraph"/>
        <w:numPr>
          <w:ilvl w:val="0"/>
          <w:numId w:val="2"/>
        </w:numPr>
        <w:spacing w:after="60"/>
      </w:pPr>
      <w:r>
        <w:t xml:space="preserve">AEMO NEM primer materials (aemo.com.au) — background on RRP, dispatch, and settlement periods.</w:t>
      </w:r>
    </w:p>
    <w:sectPr>
      <w:pgSz w:w="12240" w:h="15840"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lvl w:ilvl="1" w15:tentative="1">
      <w:start w:val="1"/>
      <w:numFmt w:val="bullet"/>
      <w:lvlText w:val="◦"/>
      <w:lvlJc w:val="left"/>
      <w:pPr>
        <w:ind w:left="863"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2026-08-09T05:31:36.922Z</dcterms:created>
  <dcterms:modified xsi:type="dcterms:W3CDTF">2026-08-09T05:31:36.923Z</dcterms:modified>
</cp:coreProperties>
</file>

<file path=docProps/custom.xml><?xml version="1.0" encoding="utf-8"?>
<Properties xmlns="http://schemas.openxmlformats.org/officeDocument/2006/custom-properties" xmlns:vt="http://schemas.openxmlformats.org/officeDocument/2006/docPropsVTypes"/>
</file>