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3134E" w14:textId="29EC1742" w:rsidR="00AE6E12" w:rsidRDefault="005F153E" w:rsidP="00AE6E12">
      <w:pPr>
        <w:jc w:val="center"/>
        <w:rPr>
          <w:b/>
          <w:bCs/>
        </w:rPr>
      </w:pPr>
      <w:r>
        <w:rPr>
          <w:b/>
          <w:bCs/>
        </w:rPr>
        <w:t xml:space="preserve">DSBA6211 Spring 2026 - </w:t>
      </w:r>
      <w:r w:rsidR="00AE6E12">
        <w:rPr>
          <w:b/>
          <w:bCs/>
        </w:rPr>
        <w:t>Assignment 05</w:t>
      </w:r>
    </w:p>
    <w:p w14:paraId="7AE23F49" w14:textId="629B137D" w:rsidR="00AE6E12" w:rsidRDefault="00AE6E12" w:rsidP="00AE6E12">
      <w:pPr>
        <w:jc w:val="center"/>
        <w:rPr>
          <w:b/>
          <w:bCs/>
        </w:rPr>
      </w:pPr>
      <w:r w:rsidRPr="00AE6E12">
        <w:rPr>
          <w:b/>
          <w:bCs/>
        </w:rPr>
        <w:t xml:space="preserve">Credit Card Default Survival Analysis </w:t>
      </w:r>
    </w:p>
    <w:p w14:paraId="43652E26" w14:textId="77777777" w:rsidR="00AE6E12" w:rsidRPr="00AE6E12" w:rsidRDefault="00AE6E12" w:rsidP="00AE6E12">
      <w:pPr>
        <w:jc w:val="center"/>
        <w:rPr>
          <w:b/>
          <w:bCs/>
        </w:rPr>
      </w:pPr>
    </w:p>
    <w:p w14:paraId="5C134443" w14:textId="18C78BEE" w:rsidR="00CD055C" w:rsidRDefault="00CD055C" w:rsidP="00AE6E12">
      <w:pPr>
        <w:rPr>
          <w:b/>
          <w:bCs/>
        </w:rPr>
      </w:pPr>
      <w:r>
        <w:rPr>
          <w:b/>
          <w:bCs/>
        </w:rPr>
        <w:t xml:space="preserve">Dataset:  </w:t>
      </w:r>
      <w:hyperlink r:id="rId5" w:history="1">
        <w:r w:rsidRPr="00CD055C">
          <w:rPr>
            <w:rStyle w:val="Hyperlink"/>
          </w:rPr>
          <w:t>default-of-credit-card data</w:t>
        </w:r>
      </w:hyperlink>
    </w:p>
    <w:p w14:paraId="0342AD2C" w14:textId="66E78CD9" w:rsidR="00AE6E12" w:rsidRPr="00AE6E12" w:rsidRDefault="00AE6E12" w:rsidP="00AE6E12">
      <w:r w:rsidRPr="00AE6E12">
        <w:t>A major financial institution wants to improve its credit card risk management by analyzing the time-to-default patterns using historical credit card data from Taiwan. Using survival analysis techniques, you will help develop a predictive framework for default risk.</w:t>
      </w:r>
    </w:p>
    <w:p w14:paraId="2FFA1733" w14:textId="77777777" w:rsidR="00AE6E12" w:rsidRPr="00AE6E12" w:rsidRDefault="00AE6E12" w:rsidP="00AE6E12">
      <w:pPr>
        <w:rPr>
          <w:b/>
          <w:bCs/>
        </w:rPr>
      </w:pPr>
      <w:r w:rsidRPr="00AE6E12">
        <w:rPr>
          <w:b/>
          <w:bCs/>
        </w:rPr>
        <w:t>Dataset Description</w:t>
      </w:r>
    </w:p>
    <w:p w14:paraId="2858CB6F" w14:textId="77777777" w:rsidR="00AE6E12" w:rsidRPr="00AE6E12" w:rsidRDefault="00AE6E12" w:rsidP="00AE6E12">
      <w:r w:rsidRPr="00AE6E12">
        <w:t>Taiwan Credit Card Default Dataset (2005) contains:</w:t>
      </w:r>
    </w:p>
    <w:p w14:paraId="71812BE0" w14:textId="77777777" w:rsidR="00AE6E12" w:rsidRPr="00AE6E12" w:rsidRDefault="00AE6E12" w:rsidP="00AE6E12">
      <w:pPr>
        <w:numPr>
          <w:ilvl w:val="0"/>
          <w:numId w:val="1"/>
        </w:numPr>
      </w:pPr>
      <w:r w:rsidRPr="00AE6E12">
        <w:t>30,000 credit card accounts</w:t>
      </w:r>
    </w:p>
    <w:p w14:paraId="037D2651" w14:textId="77777777" w:rsidR="00AE6E12" w:rsidRPr="00AE6E12" w:rsidRDefault="00AE6E12" w:rsidP="00AE6E12">
      <w:pPr>
        <w:numPr>
          <w:ilvl w:val="0"/>
          <w:numId w:val="1"/>
        </w:numPr>
      </w:pPr>
      <w:r w:rsidRPr="00AE6E12">
        <w:t xml:space="preserve">25 variables including: </w:t>
      </w:r>
    </w:p>
    <w:p w14:paraId="7333A14D" w14:textId="77777777" w:rsidR="00AE6E12" w:rsidRPr="00AE6E12" w:rsidRDefault="00AE6E12" w:rsidP="00AE6E12">
      <w:pPr>
        <w:numPr>
          <w:ilvl w:val="1"/>
          <w:numId w:val="1"/>
        </w:numPr>
      </w:pPr>
      <w:r w:rsidRPr="00AE6E12">
        <w:t>Demographics (age, gender, education, marriage)</w:t>
      </w:r>
    </w:p>
    <w:p w14:paraId="1EC009CD" w14:textId="77777777" w:rsidR="00AE6E12" w:rsidRPr="00AE6E12" w:rsidRDefault="00AE6E12" w:rsidP="00AE6E12">
      <w:pPr>
        <w:numPr>
          <w:ilvl w:val="1"/>
          <w:numId w:val="1"/>
        </w:numPr>
      </w:pPr>
      <w:r w:rsidRPr="00AE6E12">
        <w:t>Credit limit</w:t>
      </w:r>
    </w:p>
    <w:p w14:paraId="4844B6A5" w14:textId="77777777" w:rsidR="00AE6E12" w:rsidRPr="00AE6E12" w:rsidRDefault="00AE6E12" w:rsidP="00AE6E12">
      <w:pPr>
        <w:numPr>
          <w:ilvl w:val="1"/>
          <w:numId w:val="1"/>
        </w:numPr>
      </w:pPr>
      <w:r w:rsidRPr="00AE6E12">
        <w:t>Monthly payment status (April to September)</w:t>
      </w:r>
    </w:p>
    <w:p w14:paraId="0F1FA220" w14:textId="77777777" w:rsidR="00AE6E12" w:rsidRPr="00AE6E12" w:rsidRDefault="00AE6E12" w:rsidP="00AE6E12">
      <w:pPr>
        <w:numPr>
          <w:ilvl w:val="1"/>
          <w:numId w:val="1"/>
        </w:numPr>
      </w:pPr>
      <w:r w:rsidRPr="00AE6E12">
        <w:t>Monthly bill amounts</w:t>
      </w:r>
    </w:p>
    <w:p w14:paraId="4B9B525B" w14:textId="77777777" w:rsidR="00AE6E12" w:rsidRPr="00AE6E12" w:rsidRDefault="00AE6E12" w:rsidP="00AE6E12">
      <w:pPr>
        <w:numPr>
          <w:ilvl w:val="1"/>
          <w:numId w:val="1"/>
        </w:numPr>
      </w:pPr>
      <w:r w:rsidRPr="00AE6E12">
        <w:t>Monthly payment amounts</w:t>
      </w:r>
    </w:p>
    <w:p w14:paraId="20B357C2" w14:textId="77777777" w:rsidR="00AE6E12" w:rsidRDefault="00AE6E12" w:rsidP="00AE6E12">
      <w:pPr>
        <w:numPr>
          <w:ilvl w:val="1"/>
          <w:numId w:val="1"/>
        </w:numPr>
      </w:pPr>
      <w:r w:rsidRPr="00AE6E12">
        <w:t>Default status</w:t>
      </w:r>
    </w:p>
    <w:p w14:paraId="248E185A" w14:textId="310F356F" w:rsidR="00CD055C" w:rsidRPr="00AE6E12" w:rsidRDefault="007A4DD5" w:rsidP="007A4DD5">
      <w:r w:rsidRPr="00AE6E12">
        <w:t>Monthly payment status (</w:t>
      </w:r>
      <w:r w:rsidRPr="007A4DD5">
        <w:t>PAY_0 to PAY_6 columns</w:t>
      </w:r>
      <w:r>
        <w:t>) has been p</w:t>
      </w:r>
      <w:r w:rsidRPr="007A4DD5">
        <w:t>reprocess</w:t>
      </w:r>
      <w:r>
        <w:t>ed</w:t>
      </w:r>
      <w:r w:rsidRPr="007A4DD5">
        <w:t xml:space="preserve"> to identify the first payment delay </w:t>
      </w:r>
      <w:r>
        <w:t xml:space="preserve">as </w:t>
      </w:r>
      <w:r w:rsidRPr="007A4DD5">
        <w:t>a 'Time-to-</w:t>
      </w:r>
      <w:proofErr w:type="gramStart"/>
      <w:r w:rsidRPr="007A4DD5">
        <w:t>first-delay</w:t>
      </w:r>
      <w:proofErr w:type="gramEnd"/>
      <w:r w:rsidRPr="007A4DD5">
        <w:t>' column and assign 6 months for cases with no delay.</w:t>
      </w:r>
    </w:p>
    <w:p w14:paraId="1B3A7A21" w14:textId="77777777" w:rsidR="00AE6E12" w:rsidRPr="00AE6E12" w:rsidRDefault="00AE6E12" w:rsidP="00AE6E12">
      <w:pPr>
        <w:rPr>
          <w:b/>
          <w:bCs/>
        </w:rPr>
      </w:pPr>
      <w:r w:rsidRPr="00AE6E12">
        <w:rPr>
          <w:b/>
          <w:bCs/>
        </w:rPr>
        <w:t>Assignment Tasks (50 Points Total)</w:t>
      </w:r>
    </w:p>
    <w:p w14:paraId="70ABA4EB" w14:textId="3B2DA019" w:rsidR="006623C0" w:rsidRDefault="004F1C28" w:rsidP="006623C0">
      <w:pPr>
        <w:pStyle w:val="ListParagraph"/>
        <w:numPr>
          <w:ilvl w:val="0"/>
          <w:numId w:val="23"/>
        </w:numPr>
        <w:spacing w:after="120"/>
        <w:contextualSpacing w:val="0"/>
      </w:pPr>
      <w:r w:rsidRPr="004F1C28">
        <w:t>What is survival analysis? What is it used for? Name two methods of survival analysis taught in the class. (Be concise)</w:t>
      </w:r>
      <w:r>
        <w:t>.</w:t>
      </w:r>
    </w:p>
    <w:p w14:paraId="6DBCBBC4" w14:textId="1EF05A99" w:rsidR="006623C0" w:rsidRPr="006623C0" w:rsidRDefault="006623C0" w:rsidP="006623C0">
      <w:pPr>
        <w:pStyle w:val="ListParagraph"/>
        <w:spacing w:after="120"/>
        <w:ind w:left="360"/>
        <w:contextualSpacing w:val="0"/>
        <w:rPr>
          <w:color w:val="0B769F" w:themeColor="accent4" w:themeShade="BF"/>
        </w:rPr>
      </w:pPr>
      <w:r w:rsidRPr="006623C0">
        <w:rPr>
          <w:color w:val="0B769F" w:themeColor="accent4" w:themeShade="BF"/>
        </w:rPr>
        <w:t>Survival analysis is a class of statistical methods for which the outcome variable of interest is time until event happens.</w:t>
      </w:r>
    </w:p>
    <w:p w14:paraId="271A3513" w14:textId="67B2A9A9" w:rsidR="006623C0" w:rsidRPr="006623C0" w:rsidRDefault="006623C0" w:rsidP="006623C0">
      <w:pPr>
        <w:pStyle w:val="ListParagraph"/>
        <w:numPr>
          <w:ilvl w:val="0"/>
          <w:numId w:val="28"/>
        </w:numPr>
        <w:spacing w:after="120"/>
        <w:contextualSpacing w:val="0"/>
        <w:rPr>
          <w:color w:val="0B769F" w:themeColor="accent4" w:themeShade="BF"/>
        </w:rPr>
      </w:pPr>
      <w:r w:rsidRPr="006623C0">
        <w:rPr>
          <w:color w:val="0B769F" w:themeColor="accent4" w:themeShade="BF"/>
        </w:rPr>
        <w:t>Kaplan-Meier survival curve (non-parametric estimation)</w:t>
      </w:r>
    </w:p>
    <w:p w14:paraId="73FEECF6" w14:textId="516C2053" w:rsidR="006623C0" w:rsidRPr="006623C0" w:rsidRDefault="006623C0" w:rsidP="006623C0">
      <w:pPr>
        <w:pStyle w:val="ListParagraph"/>
        <w:numPr>
          <w:ilvl w:val="0"/>
          <w:numId w:val="28"/>
        </w:numPr>
        <w:spacing w:after="120"/>
        <w:contextualSpacing w:val="0"/>
        <w:rPr>
          <w:color w:val="0B769F" w:themeColor="accent4" w:themeShade="BF"/>
        </w:rPr>
      </w:pPr>
      <w:r w:rsidRPr="006623C0">
        <w:rPr>
          <w:color w:val="0B769F" w:themeColor="accent4" w:themeShade="BF"/>
        </w:rPr>
        <w:t>Cox proportional hazards regression</w:t>
      </w:r>
    </w:p>
    <w:p w14:paraId="56AC1C36" w14:textId="77777777" w:rsidR="006623C0" w:rsidRDefault="006623C0" w:rsidP="006623C0">
      <w:pPr>
        <w:pStyle w:val="ListParagraph"/>
        <w:spacing w:after="120"/>
        <w:ind w:left="1080"/>
        <w:contextualSpacing w:val="0"/>
      </w:pPr>
    </w:p>
    <w:p w14:paraId="3CBCC56B" w14:textId="0717E893" w:rsidR="00ED15E0" w:rsidRDefault="00ED15E0" w:rsidP="007A4DD5">
      <w:pPr>
        <w:pStyle w:val="ListParagraph"/>
        <w:numPr>
          <w:ilvl w:val="0"/>
          <w:numId w:val="23"/>
        </w:numPr>
        <w:spacing w:after="120"/>
        <w:contextualSpacing w:val="0"/>
      </w:pPr>
      <w:r>
        <w:lastRenderedPageBreak/>
        <w:t xml:space="preserve">Which </w:t>
      </w:r>
      <w:r w:rsidRPr="00ED15E0">
        <w:t xml:space="preserve">columns </w:t>
      </w:r>
      <w:r>
        <w:t xml:space="preserve">will you consider as </w:t>
      </w:r>
      <w:r w:rsidRPr="00ED15E0">
        <w:t>the event and time-to-event for Survival analysis</w:t>
      </w:r>
      <w:r>
        <w:t>?</w:t>
      </w:r>
    </w:p>
    <w:p w14:paraId="789B1DB6" w14:textId="4623B4F5" w:rsidR="009B300B" w:rsidRPr="00A17F2F" w:rsidRDefault="009B300B" w:rsidP="009B300B">
      <w:pPr>
        <w:pStyle w:val="ListParagraph"/>
        <w:spacing w:after="120"/>
        <w:ind w:left="360"/>
        <w:contextualSpacing w:val="0"/>
        <w:rPr>
          <w:color w:val="0B769F" w:themeColor="accent4" w:themeShade="BF"/>
        </w:rPr>
      </w:pPr>
      <w:r w:rsidRPr="00A17F2F">
        <w:rPr>
          <w:color w:val="0B769F" w:themeColor="accent4" w:themeShade="BF"/>
        </w:rPr>
        <w:t xml:space="preserve">Time-to-first-delay column would be the time to event, and </w:t>
      </w:r>
      <w:proofErr w:type="spellStart"/>
      <w:r w:rsidRPr="00A17F2F">
        <w:rPr>
          <w:color w:val="0B769F" w:themeColor="accent4" w:themeShade="BF"/>
        </w:rPr>
        <w:t>delay_event</w:t>
      </w:r>
      <w:proofErr w:type="spellEnd"/>
      <w:r w:rsidRPr="00A17F2F">
        <w:rPr>
          <w:color w:val="0B769F" w:themeColor="accent4" w:themeShade="BF"/>
        </w:rPr>
        <w:t xml:space="preserve"> would be the event indicator. </w:t>
      </w:r>
    </w:p>
    <w:p w14:paraId="614FB389" w14:textId="77777777" w:rsidR="005045C1" w:rsidRDefault="005045C1" w:rsidP="005045C1">
      <w:pPr>
        <w:pStyle w:val="ListParagraph"/>
        <w:numPr>
          <w:ilvl w:val="0"/>
          <w:numId w:val="23"/>
        </w:numPr>
      </w:pPr>
      <w:r w:rsidRPr="005045C1">
        <w:t xml:space="preserve">Plot the Kaplan-Meier Curve based on the event and time-to-event identified in the previous question. </w:t>
      </w:r>
    </w:p>
    <w:p w14:paraId="77075B45" w14:textId="77777777" w:rsidR="005045C1" w:rsidRDefault="005045C1" w:rsidP="005045C1">
      <w:pPr>
        <w:pStyle w:val="ListParagraph"/>
        <w:numPr>
          <w:ilvl w:val="0"/>
          <w:numId w:val="26"/>
        </w:numPr>
      </w:pPr>
      <w:r w:rsidRPr="005045C1">
        <w:t>Explain values displayed on the X and Y axis of the plot.</w:t>
      </w:r>
    </w:p>
    <w:p w14:paraId="5F1EA04A" w14:textId="2B699E0C" w:rsidR="008570FA" w:rsidRPr="008570FA" w:rsidRDefault="008570FA" w:rsidP="008570FA">
      <w:pPr>
        <w:pStyle w:val="ListParagraph"/>
        <w:ind w:left="1080"/>
        <w:rPr>
          <w:color w:val="0B769F" w:themeColor="accent4" w:themeShade="BF"/>
        </w:rPr>
      </w:pPr>
      <w:r w:rsidRPr="008570FA">
        <w:rPr>
          <w:color w:val="0B769F" w:themeColor="accent4" w:themeShade="BF"/>
        </w:rPr>
        <w:t xml:space="preserve">X axis is the time in months until a customer experiences their first payment delay. </w:t>
      </w:r>
    </w:p>
    <w:p w14:paraId="3CF8BEF3" w14:textId="2CC33346" w:rsidR="008570FA" w:rsidRPr="008570FA" w:rsidRDefault="008570FA" w:rsidP="008570FA">
      <w:pPr>
        <w:pStyle w:val="ListParagraph"/>
        <w:ind w:left="1080"/>
        <w:rPr>
          <w:color w:val="0B769F" w:themeColor="accent4" w:themeShade="BF"/>
        </w:rPr>
      </w:pPr>
      <w:r w:rsidRPr="008570FA">
        <w:rPr>
          <w:color w:val="0B769F" w:themeColor="accent4" w:themeShade="BF"/>
        </w:rPr>
        <w:t xml:space="preserve">Y axis is the probability has not yet experienced their first payment delay by time(t) where t is the value of the x axis. </w:t>
      </w:r>
    </w:p>
    <w:p w14:paraId="38FE27E2" w14:textId="77777777" w:rsidR="008570FA" w:rsidRDefault="008570FA" w:rsidP="008570FA">
      <w:pPr>
        <w:pStyle w:val="ListParagraph"/>
        <w:ind w:left="1080"/>
      </w:pPr>
    </w:p>
    <w:p w14:paraId="0F795A02" w14:textId="210AF8D5" w:rsidR="005045C1" w:rsidRDefault="005045C1" w:rsidP="008570FA">
      <w:pPr>
        <w:pStyle w:val="ListParagraph"/>
        <w:ind w:left="1080"/>
      </w:pPr>
      <w:r w:rsidRPr="005045C1">
        <w:t>What is the median survival time? What does the survival probability at 6 months indicate about the population's behavior?</w:t>
      </w:r>
    </w:p>
    <w:p w14:paraId="682C23CB" w14:textId="77777777" w:rsidR="00BC2B71" w:rsidRDefault="00BC2B71" w:rsidP="008570FA">
      <w:pPr>
        <w:pStyle w:val="ListParagraph"/>
        <w:ind w:left="1080"/>
      </w:pPr>
    </w:p>
    <w:p w14:paraId="52958FAB" w14:textId="452111DA" w:rsidR="00954A4B" w:rsidRPr="00954A4B" w:rsidRDefault="00954A4B" w:rsidP="008570FA">
      <w:pPr>
        <w:pStyle w:val="ListParagraph"/>
        <w:ind w:left="1080"/>
        <w:rPr>
          <w:color w:val="0B769F" w:themeColor="accent4" w:themeShade="BF"/>
        </w:rPr>
      </w:pPr>
      <w:r w:rsidRPr="00954A4B">
        <w:rPr>
          <w:color w:val="0B769F" w:themeColor="accent4" w:themeShade="BF"/>
        </w:rPr>
        <w:t xml:space="preserve">The median survival time is the time at which the survival probability first falls below 50%. In this dataset, the median survival time did not fall below 50% within the </w:t>
      </w:r>
      <w:proofErr w:type="gramStart"/>
      <w:r w:rsidRPr="00954A4B">
        <w:rPr>
          <w:color w:val="0B769F" w:themeColor="accent4" w:themeShade="BF"/>
        </w:rPr>
        <w:t>6 month</w:t>
      </w:r>
      <w:proofErr w:type="gramEnd"/>
      <w:r w:rsidRPr="00954A4B">
        <w:rPr>
          <w:color w:val="0B769F" w:themeColor="accent4" w:themeShade="BF"/>
        </w:rPr>
        <w:t xml:space="preserve"> observation period. The survival probability at 6 months is 66.44% which means about 66.44% of customers remain delay free at 6 months while 33.66% of customers have experienced at least 1 delay within the last 6 months. </w:t>
      </w:r>
    </w:p>
    <w:p w14:paraId="7B50AD71" w14:textId="0A900828" w:rsidR="00954A4B" w:rsidRDefault="00954A4B" w:rsidP="008570FA">
      <w:pPr>
        <w:pStyle w:val="ListParagraph"/>
        <w:ind w:left="1080"/>
      </w:pPr>
      <w:r>
        <w:t xml:space="preserve"> </w:t>
      </w:r>
    </w:p>
    <w:p w14:paraId="0C460641" w14:textId="0649F4B4" w:rsidR="0017063A" w:rsidRDefault="0017063A" w:rsidP="0017063A">
      <w:pPr>
        <w:pStyle w:val="ListParagraph"/>
        <w:numPr>
          <w:ilvl w:val="0"/>
          <w:numId w:val="23"/>
        </w:numPr>
      </w:pPr>
      <w:r>
        <w:t>Do a comparative study of Kaplan-Meier analysis (KM Curve) for different categories in each of the 4 variables. Report your findings for each variable. You will have 4 plots, one for each variable.</w:t>
      </w:r>
    </w:p>
    <w:p w14:paraId="4916EB58" w14:textId="58C8719C" w:rsidR="004A2706" w:rsidRDefault="0017063A" w:rsidP="00693356">
      <w:pPr>
        <w:pStyle w:val="ListParagraph"/>
        <w:numPr>
          <w:ilvl w:val="0"/>
          <w:numId w:val="27"/>
        </w:numPr>
      </w:pPr>
      <w:r>
        <w:t>E</w:t>
      </w:r>
      <w:r w:rsidR="00CD055C">
        <w:t>DUCATION</w:t>
      </w:r>
      <w:r>
        <w:t xml:space="preserve"> levels</w:t>
      </w:r>
    </w:p>
    <w:p w14:paraId="6136FEE4" w14:textId="674591F3" w:rsidR="004A2706" w:rsidRPr="009C46F2" w:rsidRDefault="004A2706" w:rsidP="004A2706">
      <w:pPr>
        <w:pStyle w:val="ListParagraph"/>
        <w:ind w:left="1440"/>
        <w:rPr>
          <w:color w:val="0B769F" w:themeColor="accent4" w:themeShade="BF"/>
        </w:rPr>
      </w:pPr>
      <w:r w:rsidRPr="009C46F2">
        <w:rPr>
          <w:color w:val="0B769F" w:themeColor="accent4" w:themeShade="BF"/>
        </w:rPr>
        <w:t xml:space="preserve">p-value shows statistical significance, which means the time to first delay differs significantly across education groups. Among the education groups, Graduate school customers had the best repayment behavior with 69.49% </w:t>
      </w:r>
      <w:proofErr w:type="gramStart"/>
      <w:r w:rsidRPr="009C46F2">
        <w:rPr>
          <w:color w:val="0B769F" w:themeColor="accent4" w:themeShade="BF"/>
        </w:rPr>
        <w:t>6 month</w:t>
      </w:r>
      <w:proofErr w:type="gramEnd"/>
      <w:r w:rsidRPr="009C46F2">
        <w:rPr>
          <w:color w:val="0B769F" w:themeColor="accent4" w:themeShade="BF"/>
        </w:rPr>
        <w:t xml:space="preserve"> survival probability and high school has the highest delay risk with a </w:t>
      </w:r>
      <w:proofErr w:type="gramStart"/>
      <w:r w:rsidRPr="009C46F2">
        <w:rPr>
          <w:color w:val="0B769F" w:themeColor="accent4" w:themeShade="BF"/>
        </w:rPr>
        <w:t>6 month</w:t>
      </w:r>
      <w:proofErr w:type="gramEnd"/>
      <w:r w:rsidRPr="009C46F2">
        <w:rPr>
          <w:color w:val="0B769F" w:themeColor="accent4" w:themeShade="BF"/>
        </w:rPr>
        <w:t xml:space="preserve"> survival probability of 62.05%.</w:t>
      </w:r>
    </w:p>
    <w:p w14:paraId="48E83860" w14:textId="53E6F0CC" w:rsidR="00CD055C" w:rsidRDefault="00CD055C" w:rsidP="0017063A">
      <w:pPr>
        <w:pStyle w:val="ListParagraph"/>
        <w:numPr>
          <w:ilvl w:val="0"/>
          <w:numId w:val="27"/>
        </w:numPr>
      </w:pPr>
      <w:r>
        <w:t>SEX</w:t>
      </w:r>
    </w:p>
    <w:p w14:paraId="215F308A" w14:textId="77777777" w:rsidR="009102DE" w:rsidRPr="009102DE" w:rsidRDefault="009102DE" w:rsidP="009102DE">
      <w:pPr>
        <w:spacing w:after="0" w:line="276" w:lineRule="auto"/>
        <w:ind w:left="1080" w:firstLine="360"/>
        <w:rPr>
          <w:color w:val="0B769F" w:themeColor="accent4" w:themeShade="BF"/>
        </w:rPr>
      </w:pPr>
      <w:r w:rsidRPr="009102DE">
        <w:rPr>
          <w:color w:val="0B769F" w:themeColor="accent4" w:themeShade="BF"/>
        </w:rPr>
        <w:t xml:space="preserve">The log rank </w:t>
      </w:r>
      <w:proofErr w:type="gramStart"/>
      <w:r w:rsidRPr="009102DE">
        <w:rPr>
          <w:color w:val="0B769F" w:themeColor="accent4" w:themeShade="BF"/>
        </w:rPr>
        <w:t>test</w:t>
      </w:r>
      <w:proofErr w:type="gramEnd"/>
      <w:r w:rsidRPr="009102DE">
        <w:rPr>
          <w:color w:val="0B769F" w:themeColor="accent4" w:themeShade="BF"/>
        </w:rPr>
        <w:t xml:space="preserve"> significance of p-value = </w:t>
      </w:r>
      <m:oMath>
        <m:r>
          <w:rPr>
            <w:rFonts w:ascii="Cambria Math" w:hAnsi="Cambria Math"/>
            <w:color w:val="0B769F" w:themeColor="accent4" w:themeShade="BF"/>
          </w:rPr>
          <m:t>1.24*</m:t>
        </m:r>
        <m:sSup>
          <m:sSupPr>
            <m:ctrlPr>
              <w:rPr>
                <w:rFonts w:ascii="Cambria Math" w:hAnsi="Cambria Math"/>
                <w:i/>
                <w:color w:val="0B769F" w:themeColor="accent4" w:themeShade="BF"/>
              </w:rPr>
            </m:ctrlPr>
          </m:sSupPr>
          <m:e>
            <m:r>
              <w:rPr>
                <w:rFonts w:ascii="Cambria Math" w:hAnsi="Cambria Math"/>
                <w:color w:val="0B769F" w:themeColor="accent4" w:themeShade="BF"/>
              </w:rPr>
              <m:t>10</m:t>
            </m:r>
          </m:e>
          <m:sup>
            <m:r>
              <w:rPr>
                <w:rFonts w:ascii="Cambria Math" w:hAnsi="Cambria Math"/>
                <w:color w:val="0B769F" w:themeColor="accent4" w:themeShade="BF"/>
              </w:rPr>
              <m:t>-6</m:t>
            </m:r>
          </m:sup>
        </m:sSup>
      </m:oMath>
    </w:p>
    <w:p w14:paraId="49A221CD" w14:textId="205E34BA" w:rsidR="009102DE" w:rsidRPr="009102DE" w:rsidRDefault="009102DE" w:rsidP="009102DE">
      <w:pPr>
        <w:spacing w:after="0" w:line="276" w:lineRule="auto"/>
        <w:ind w:left="1080" w:firstLine="360"/>
        <w:rPr>
          <w:color w:val="0B769F" w:themeColor="accent4" w:themeShade="BF"/>
        </w:rPr>
      </w:pPr>
      <w:r w:rsidRPr="009102DE">
        <w:rPr>
          <w:color w:val="0B769F" w:themeColor="accent4" w:themeShade="BF"/>
        </w:rPr>
        <w:t>means time-to-</w:t>
      </w:r>
      <w:proofErr w:type="gramStart"/>
      <w:r w:rsidRPr="009102DE">
        <w:rPr>
          <w:color w:val="0B769F" w:themeColor="accent4" w:themeShade="BF"/>
        </w:rPr>
        <w:t>first-delay</w:t>
      </w:r>
      <w:proofErr w:type="gramEnd"/>
      <w:r w:rsidRPr="009102DE">
        <w:rPr>
          <w:color w:val="0B769F" w:themeColor="accent4" w:themeShade="BF"/>
        </w:rPr>
        <w:t xml:space="preserve"> differs significantly between males and females.</w:t>
      </w:r>
    </w:p>
    <w:p w14:paraId="6BF79DB2" w14:textId="77777777" w:rsidR="009102DE" w:rsidRPr="009102DE" w:rsidRDefault="009102DE" w:rsidP="009102DE">
      <w:pPr>
        <w:spacing w:after="0" w:line="276" w:lineRule="auto"/>
        <w:ind w:left="1440"/>
        <w:rPr>
          <w:color w:val="0B769F" w:themeColor="accent4" w:themeShade="BF"/>
        </w:rPr>
      </w:pPr>
      <w:r w:rsidRPr="009102DE">
        <w:rPr>
          <w:color w:val="0B769F" w:themeColor="accent4" w:themeShade="BF"/>
        </w:rPr>
        <w:t>Female customers showed better repayment behavior, with a 6-month survival probability of 67.50%. Male customers had a lower survival probability of 64.82%, indicating a slightly higher risk of first payment delay.</w:t>
      </w:r>
    </w:p>
    <w:p w14:paraId="1569A8E8" w14:textId="77777777" w:rsidR="009102DE" w:rsidRPr="009102DE" w:rsidRDefault="009102DE" w:rsidP="009102DE">
      <w:pPr>
        <w:spacing w:after="0" w:line="276" w:lineRule="auto"/>
        <w:ind w:left="1440"/>
      </w:pPr>
      <w:r w:rsidRPr="009102DE">
        <w:rPr>
          <w:color w:val="0B769F" w:themeColor="accent4" w:themeShade="BF"/>
        </w:rPr>
        <w:lastRenderedPageBreak/>
        <w:t>The median survival time was infinite for both groups, meaning more than half of both male and female customers remained delay-free during the 6-month period.</w:t>
      </w:r>
    </w:p>
    <w:p w14:paraId="2B30E4A6" w14:textId="77777777" w:rsidR="009C46F2" w:rsidRDefault="009C46F2" w:rsidP="009102DE">
      <w:pPr>
        <w:pStyle w:val="ListParagraph"/>
        <w:ind w:left="1440"/>
      </w:pPr>
    </w:p>
    <w:p w14:paraId="152CB520" w14:textId="4B354BB7" w:rsidR="0017063A" w:rsidRDefault="0017063A" w:rsidP="0017063A">
      <w:pPr>
        <w:pStyle w:val="ListParagraph"/>
        <w:numPr>
          <w:ilvl w:val="0"/>
          <w:numId w:val="27"/>
        </w:numPr>
      </w:pPr>
      <w:r>
        <w:t>M</w:t>
      </w:r>
      <w:r w:rsidR="00CD055C">
        <w:t>ARRIAGE</w:t>
      </w:r>
      <w:r>
        <w:t xml:space="preserve"> status</w:t>
      </w:r>
    </w:p>
    <w:p w14:paraId="1E8773B1" w14:textId="33AE1A62" w:rsidR="005B17D9" w:rsidRPr="005B17D9" w:rsidRDefault="005B17D9" w:rsidP="005B17D9">
      <w:pPr>
        <w:ind w:left="1440"/>
        <w:rPr>
          <w:color w:val="0B769F" w:themeColor="accent4" w:themeShade="BF"/>
        </w:rPr>
      </w:pPr>
      <w:r w:rsidRPr="005B17D9">
        <w:rPr>
          <w:color w:val="0B769F" w:themeColor="accent4" w:themeShade="BF"/>
        </w:rPr>
        <w:t>The log rank test found a p-value of 0.6214 which means the time to first delay does not differ significantly across marriage status groups.</w:t>
      </w:r>
    </w:p>
    <w:p w14:paraId="47B54FEA" w14:textId="77777777" w:rsidR="005B17D9" w:rsidRPr="005B17D9" w:rsidRDefault="005B17D9" w:rsidP="005B17D9">
      <w:pPr>
        <w:ind w:left="1440"/>
        <w:rPr>
          <w:color w:val="0B769F" w:themeColor="accent4" w:themeShade="BF"/>
        </w:rPr>
      </w:pPr>
      <w:r w:rsidRPr="005B17D9">
        <w:rPr>
          <w:color w:val="0B769F" w:themeColor="accent4" w:themeShade="BF"/>
        </w:rPr>
        <w:t>Married and Single customers had almost identical 6-month survival probabilities: 66.41% and 66.52%, respectively. The Other group had a lower survival probability of 63.16%, but it is a much smaller group.</w:t>
      </w:r>
    </w:p>
    <w:p w14:paraId="0E308607" w14:textId="22DBFA78" w:rsidR="005B17D9" w:rsidRDefault="005B17D9" w:rsidP="00FB6461">
      <w:pPr>
        <w:ind w:left="1440"/>
      </w:pPr>
      <w:r w:rsidRPr="005B17D9">
        <w:rPr>
          <w:color w:val="0B769F" w:themeColor="accent4" w:themeShade="BF"/>
        </w:rPr>
        <w:t>The median survival time was infinite for all groups, meaning more than half of customers in every marriage category remained delay-free during the 6-month period.</w:t>
      </w:r>
    </w:p>
    <w:p w14:paraId="6F2D5AEC" w14:textId="013DDD5B" w:rsidR="0017063A" w:rsidRDefault="0017063A" w:rsidP="0017063A">
      <w:pPr>
        <w:pStyle w:val="ListParagraph"/>
        <w:numPr>
          <w:ilvl w:val="0"/>
          <w:numId w:val="27"/>
        </w:numPr>
      </w:pPr>
      <w:r>
        <w:t>LIMIT_BAL - create 3 groups (low, medium, high)</w:t>
      </w:r>
    </w:p>
    <w:p w14:paraId="4F6FC199" w14:textId="6CD42528" w:rsidR="00FB6461" w:rsidRPr="00FB6461" w:rsidRDefault="00FB6461" w:rsidP="00FB6461">
      <w:pPr>
        <w:ind w:left="1440"/>
        <w:rPr>
          <w:color w:val="0B769F" w:themeColor="accent4" w:themeShade="BF"/>
        </w:rPr>
      </w:pPr>
      <w:r w:rsidRPr="00FB6461">
        <w:rPr>
          <w:color w:val="0B769F" w:themeColor="accent4" w:themeShade="BF"/>
        </w:rPr>
        <w:t xml:space="preserve">The log-test rank is highly significant with a p-value of </w:t>
      </w:r>
      <m:oMath>
        <m:r>
          <w:rPr>
            <w:rFonts w:ascii="Cambria Math" w:hAnsi="Cambria Math"/>
            <w:color w:val="0B769F" w:themeColor="accent4" w:themeShade="BF"/>
          </w:rPr>
          <m:t>4.56*</m:t>
        </m:r>
        <m:sSup>
          <m:sSupPr>
            <m:ctrlPr>
              <w:rPr>
                <w:rFonts w:ascii="Cambria Math" w:hAnsi="Cambria Math"/>
                <w:i/>
                <w:color w:val="0B769F" w:themeColor="accent4" w:themeShade="BF"/>
              </w:rPr>
            </m:ctrlPr>
          </m:sSupPr>
          <m:e>
            <m:r>
              <w:rPr>
                <w:rFonts w:ascii="Cambria Math" w:hAnsi="Cambria Math"/>
                <w:color w:val="0B769F" w:themeColor="accent4" w:themeShade="BF"/>
              </w:rPr>
              <m:t>10</m:t>
            </m:r>
          </m:e>
          <m:sup>
            <m:r>
              <w:rPr>
                <w:rFonts w:ascii="Cambria Math" w:hAnsi="Cambria Math"/>
                <w:color w:val="0B769F" w:themeColor="accent4" w:themeShade="BF"/>
              </w:rPr>
              <m:t>-287</m:t>
            </m:r>
          </m:sup>
        </m:sSup>
      </m:oMath>
      <w:r w:rsidRPr="00FB6461">
        <w:rPr>
          <w:color w:val="0B769F" w:themeColor="accent4" w:themeShade="BF"/>
        </w:rPr>
        <w:t xml:space="preserve"> which means time to first delay differs strongly across credit limit groups.</w:t>
      </w:r>
    </w:p>
    <w:p w14:paraId="32805153" w14:textId="77777777" w:rsidR="00FB6461" w:rsidRPr="00FB6461" w:rsidRDefault="00FB6461" w:rsidP="00FB6461">
      <w:pPr>
        <w:ind w:left="1440"/>
        <w:rPr>
          <w:color w:val="0B769F" w:themeColor="accent4" w:themeShade="BF"/>
        </w:rPr>
      </w:pPr>
      <w:r w:rsidRPr="00FB6461">
        <w:rPr>
          <w:color w:val="0B769F" w:themeColor="accent4" w:themeShade="BF"/>
        </w:rPr>
        <w:t>High Limit customers had the best repayment behavior, with the highest 6-month survival probability of 78.62%. Low Limit customers had the highest risk, with the lowest survival probability of 54.62%.</w:t>
      </w:r>
    </w:p>
    <w:p w14:paraId="7FBCAFDF" w14:textId="77777777" w:rsidR="00FB6461" w:rsidRPr="00FB6461" w:rsidRDefault="00FB6461" w:rsidP="00FB6461">
      <w:pPr>
        <w:ind w:left="1440"/>
      </w:pPr>
      <w:r w:rsidRPr="00FB6461">
        <w:rPr>
          <w:color w:val="0B769F" w:themeColor="accent4" w:themeShade="BF"/>
        </w:rPr>
        <w:t>The median survival time was infinite for all groups, meaning more than half of customers in each credit-limit group remained delay-free during the 6-month period.</w:t>
      </w:r>
    </w:p>
    <w:p w14:paraId="2496FF46" w14:textId="31857820" w:rsidR="0017063A" w:rsidRDefault="0017063A" w:rsidP="005E35CF">
      <w:pPr>
        <w:pStyle w:val="ListParagraph"/>
        <w:numPr>
          <w:ilvl w:val="0"/>
          <w:numId w:val="27"/>
        </w:numPr>
        <w:spacing w:after="120"/>
        <w:contextualSpacing w:val="0"/>
      </w:pPr>
      <w:r>
        <w:t>AGE - create 4 groups.</w:t>
      </w:r>
    </w:p>
    <w:p w14:paraId="059DAEC5" w14:textId="087E7A78" w:rsidR="003F6E84" w:rsidRPr="004F5887" w:rsidRDefault="003F6E84" w:rsidP="004F5887">
      <w:pPr>
        <w:ind w:left="1440"/>
        <w:rPr>
          <w:color w:val="0B769F" w:themeColor="accent4" w:themeShade="BF"/>
        </w:rPr>
      </w:pPr>
      <w:r w:rsidRPr="004F5887">
        <w:rPr>
          <w:color w:val="0B769F" w:themeColor="accent4" w:themeShade="BF"/>
        </w:rPr>
        <w:t xml:space="preserve">The </w:t>
      </w:r>
      <w:proofErr w:type="gramStart"/>
      <w:r w:rsidRPr="004F5887">
        <w:rPr>
          <w:color w:val="0B769F" w:themeColor="accent4" w:themeShade="BF"/>
        </w:rPr>
        <w:t>log</w:t>
      </w:r>
      <w:proofErr w:type="gramEnd"/>
      <w:r w:rsidRPr="004F5887">
        <w:rPr>
          <w:color w:val="0B769F" w:themeColor="accent4" w:themeShade="BF"/>
        </w:rPr>
        <w:t xml:space="preserve">-test rank is significant with a p-value of </w:t>
      </w:r>
      <m:oMath>
        <m:r>
          <w:rPr>
            <w:rFonts w:ascii="Cambria Math" w:hAnsi="Cambria Math"/>
            <w:color w:val="0B769F" w:themeColor="accent4" w:themeShade="BF"/>
          </w:rPr>
          <m:t>1.22</m:t>
        </m:r>
        <m:r>
          <w:rPr>
            <w:rFonts w:ascii="Cambria Math" w:hAnsi="Cambria Math"/>
            <w:color w:val="0B769F" w:themeColor="accent4" w:themeShade="BF"/>
          </w:rPr>
          <m:t>*</m:t>
        </m:r>
        <m:sSup>
          <m:sSupPr>
            <m:ctrlPr>
              <w:rPr>
                <w:rFonts w:ascii="Cambria Math" w:hAnsi="Cambria Math"/>
                <w:i/>
                <w:color w:val="0B769F" w:themeColor="accent4" w:themeShade="BF"/>
              </w:rPr>
            </m:ctrlPr>
          </m:sSupPr>
          <m:e>
            <m:r>
              <w:rPr>
                <w:rFonts w:ascii="Cambria Math" w:hAnsi="Cambria Math"/>
                <w:color w:val="0B769F" w:themeColor="accent4" w:themeShade="BF"/>
              </w:rPr>
              <m:t>10</m:t>
            </m:r>
          </m:e>
          <m:sup>
            <m:r>
              <w:rPr>
                <w:rFonts w:ascii="Cambria Math" w:hAnsi="Cambria Math"/>
                <w:color w:val="0B769F" w:themeColor="accent4" w:themeShade="BF"/>
              </w:rPr>
              <m:t>-</m:t>
            </m:r>
            <m:r>
              <w:rPr>
                <w:rFonts w:ascii="Cambria Math" w:hAnsi="Cambria Math"/>
                <w:color w:val="0B769F" w:themeColor="accent4" w:themeShade="BF"/>
              </w:rPr>
              <m:t>14</m:t>
            </m:r>
          </m:sup>
        </m:sSup>
      </m:oMath>
    </w:p>
    <w:p w14:paraId="1D601F8F" w14:textId="77777777" w:rsidR="004F5887" w:rsidRPr="004F5887" w:rsidRDefault="004F5887" w:rsidP="004F5887">
      <w:pPr>
        <w:ind w:left="1440"/>
        <w:rPr>
          <w:color w:val="0B769F" w:themeColor="accent4" w:themeShade="BF"/>
        </w:rPr>
      </w:pPr>
      <w:r w:rsidRPr="004F5887">
        <w:rPr>
          <w:color w:val="0B769F" w:themeColor="accent4" w:themeShade="BF"/>
        </w:rPr>
        <w:t>This means time-to-</w:t>
      </w:r>
      <w:proofErr w:type="gramStart"/>
      <w:r w:rsidRPr="004F5887">
        <w:rPr>
          <w:color w:val="0B769F" w:themeColor="accent4" w:themeShade="BF"/>
        </w:rPr>
        <w:t>first-delay</w:t>
      </w:r>
      <w:proofErr w:type="gramEnd"/>
      <w:r w:rsidRPr="004F5887">
        <w:rPr>
          <w:color w:val="0B769F" w:themeColor="accent4" w:themeShade="BF"/>
        </w:rPr>
        <w:t xml:space="preserve"> differs significantly across age groups.</w:t>
      </w:r>
    </w:p>
    <w:p w14:paraId="0BA78300" w14:textId="77777777" w:rsidR="004F5887" w:rsidRPr="004F5887" w:rsidRDefault="004F5887" w:rsidP="004F5887">
      <w:pPr>
        <w:ind w:left="1440"/>
        <w:rPr>
          <w:color w:val="0B769F" w:themeColor="accent4" w:themeShade="BF"/>
        </w:rPr>
      </w:pPr>
      <w:r w:rsidRPr="004F5887">
        <w:rPr>
          <w:color w:val="0B769F" w:themeColor="accent4" w:themeShade="BF"/>
        </w:rPr>
        <w:t>Customers aged 30–39 had the best repayment behavior, with the highest 6-month survival probability of 68.47%, followed closely by 40–49 at 68.10%.</w:t>
      </w:r>
    </w:p>
    <w:p w14:paraId="34594681" w14:textId="77777777" w:rsidR="004F5887" w:rsidRPr="004F5887" w:rsidRDefault="004F5887" w:rsidP="004F5887">
      <w:pPr>
        <w:ind w:left="1440"/>
        <w:rPr>
          <w:color w:val="0B769F" w:themeColor="accent4" w:themeShade="BF"/>
        </w:rPr>
      </w:pPr>
      <w:r w:rsidRPr="004F5887">
        <w:rPr>
          <w:color w:val="0B769F" w:themeColor="accent4" w:themeShade="BF"/>
        </w:rPr>
        <w:t>The &lt;30 and 50+ groups showed higher delay risk, with lower survival probabilities of 63.62% and 63.99%, respectively.</w:t>
      </w:r>
    </w:p>
    <w:p w14:paraId="5FF2A2D8" w14:textId="77777777" w:rsidR="004F5887" w:rsidRPr="004F5887" w:rsidRDefault="004F5887" w:rsidP="004F5887">
      <w:pPr>
        <w:ind w:left="1440"/>
        <w:rPr>
          <w:color w:val="0B769F" w:themeColor="accent4" w:themeShade="BF"/>
        </w:rPr>
      </w:pPr>
      <w:r w:rsidRPr="004F5887">
        <w:rPr>
          <w:color w:val="0B769F" w:themeColor="accent4" w:themeShade="BF"/>
        </w:rPr>
        <w:t>The median survival time was infinite for all groups, meaning more than half of customers in every age group remained delay-free during the 6-month period.</w:t>
      </w:r>
    </w:p>
    <w:p w14:paraId="2BB85B9A" w14:textId="77777777" w:rsidR="004F5887" w:rsidRDefault="004F5887" w:rsidP="003F6E84">
      <w:pPr>
        <w:pStyle w:val="ListParagraph"/>
        <w:spacing w:after="120"/>
        <w:ind w:left="1440"/>
        <w:contextualSpacing w:val="0"/>
      </w:pPr>
    </w:p>
    <w:p w14:paraId="2933121C" w14:textId="4DC009E0" w:rsidR="005E35CF" w:rsidRDefault="00CD055C" w:rsidP="005E35CF">
      <w:pPr>
        <w:pStyle w:val="ListParagraph"/>
        <w:numPr>
          <w:ilvl w:val="0"/>
          <w:numId w:val="23"/>
        </w:numPr>
        <w:spacing w:after="120"/>
        <w:contextualSpacing w:val="0"/>
      </w:pPr>
      <w:r>
        <w:t>Perform Cox Regression using above 5 columns, also including the event and time-to-event columns. Discuss the model output summary.</w:t>
      </w:r>
      <w:r w:rsidR="00D24A79">
        <w:t xml:space="preserve"> Explain with the necessary plots.</w:t>
      </w:r>
    </w:p>
    <w:p w14:paraId="128C3623" w14:textId="127E4545" w:rsidR="00050A36" w:rsidRDefault="00050A36" w:rsidP="00050A36">
      <w:pPr>
        <w:pStyle w:val="ListParagraph"/>
        <w:spacing w:after="120"/>
        <w:ind w:left="360"/>
        <w:contextualSpacing w:val="0"/>
      </w:pPr>
      <w:r w:rsidRPr="00050A36">
        <w:drawing>
          <wp:inline distT="0" distB="0" distL="0" distR="0" wp14:anchorId="113417CD" wp14:editId="53A45F10">
            <wp:extent cx="3881438" cy="2367428"/>
            <wp:effectExtent l="0" t="0" r="5080" b="0"/>
            <wp:docPr id="9305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1028" name=""/>
                    <pic:cNvPicPr/>
                  </pic:nvPicPr>
                  <pic:blipFill>
                    <a:blip r:embed="rId6"/>
                    <a:stretch>
                      <a:fillRect/>
                    </a:stretch>
                  </pic:blipFill>
                  <pic:spPr>
                    <a:xfrm>
                      <a:off x="0" y="0"/>
                      <a:ext cx="3885538" cy="2369929"/>
                    </a:xfrm>
                    <a:prstGeom prst="rect">
                      <a:avLst/>
                    </a:prstGeom>
                  </pic:spPr>
                </pic:pic>
              </a:graphicData>
            </a:graphic>
          </wp:inline>
        </w:drawing>
      </w:r>
    </w:p>
    <w:p w14:paraId="1CF5D2EB" w14:textId="38109D1A" w:rsidR="00050A36" w:rsidRPr="00050A36" w:rsidRDefault="00050A36" w:rsidP="00050A36">
      <w:pPr>
        <w:ind w:left="360"/>
        <w:rPr>
          <w:color w:val="0B769F" w:themeColor="accent4" w:themeShade="BF"/>
        </w:rPr>
      </w:pPr>
      <w:r w:rsidRPr="00050A36">
        <w:rPr>
          <w:color w:val="0B769F" w:themeColor="accent4" w:themeShade="BF"/>
        </w:rPr>
        <w:t>The Cox regression shows that credit limit is the most important predictor of time</w:t>
      </w:r>
      <w:r>
        <w:rPr>
          <w:color w:val="0B769F" w:themeColor="accent4" w:themeShade="BF"/>
        </w:rPr>
        <w:t xml:space="preserve"> t</w:t>
      </w:r>
      <w:r w:rsidRPr="00050A36">
        <w:rPr>
          <w:color w:val="0B769F" w:themeColor="accent4" w:themeShade="BF"/>
        </w:rPr>
        <w:t>o</w:t>
      </w:r>
      <w:r>
        <w:rPr>
          <w:color w:val="0B769F" w:themeColor="accent4" w:themeShade="BF"/>
        </w:rPr>
        <w:t xml:space="preserve"> first payment </w:t>
      </w:r>
      <w:r w:rsidRPr="00050A36">
        <w:rPr>
          <w:color w:val="0B769F" w:themeColor="accent4" w:themeShade="BF"/>
        </w:rPr>
        <w:t xml:space="preserve">delay. </w:t>
      </w:r>
      <w:proofErr w:type="gramStart"/>
      <w:r w:rsidRPr="00050A36">
        <w:rPr>
          <w:color w:val="0B769F" w:themeColor="accent4" w:themeShade="BF"/>
        </w:rPr>
        <w:t>Low</w:t>
      </w:r>
      <w:r>
        <w:rPr>
          <w:color w:val="0B769F" w:themeColor="accent4" w:themeShade="BF"/>
        </w:rPr>
        <w:t xml:space="preserve"> </w:t>
      </w:r>
      <w:r w:rsidRPr="00050A36">
        <w:rPr>
          <w:color w:val="0B769F" w:themeColor="accent4" w:themeShade="BF"/>
        </w:rPr>
        <w:t>limit</w:t>
      </w:r>
      <w:proofErr w:type="gramEnd"/>
      <w:r w:rsidRPr="00050A36">
        <w:rPr>
          <w:color w:val="0B769F" w:themeColor="accent4" w:themeShade="BF"/>
        </w:rPr>
        <w:t xml:space="preserve"> customers have the highest risk, followed by </w:t>
      </w:r>
      <w:proofErr w:type="gramStart"/>
      <w:r w:rsidRPr="00050A36">
        <w:rPr>
          <w:color w:val="0B769F" w:themeColor="accent4" w:themeShade="BF"/>
        </w:rPr>
        <w:t>medium</w:t>
      </w:r>
      <w:r>
        <w:rPr>
          <w:color w:val="0B769F" w:themeColor="accent4" w:themeShade="BF"/>
        </w:rPr>
        <w:t xml:space="preserve"> </w:t>
      </w:r>
      <w:r w:rsidRPr="00050A36">
        <w:rPr>
          <w:color w:val="0B769F" w:themeColor="accent4" w:themeShade="BF"/>
        </w:rPr>
        <w:t>limit</w:t>
      </w:r>
      <w:proofErr w:type="gramEnd"/>
      <w:r w:rsidRPr="00050A36">
        <w:rPr>
          <w:color w:val="0B769F" w:themeColor="accent4" w:themeShade="BF"/>
        </w:rPr>
        <w:t xml:space="preserve"> customers. Male and married customers show slightly higher delay risk, while age and education have weaker effects after adjustment. The hazard ratio plot should show the largest risk increase for Low Limit and Medium Limit groups, making credit limit segmentation especially important for credit card risk management.</w:t>
      </w:r>
    </w:p>
    <w:p w14:paraId="3CE6136D" w14:textId="712B1041" w:rsidR="005E35CF" w:rsidRDefault="005E35CF" w:rsidP="00335A73">
      <w:pPr>
        <w:pStyle w:val="ListParagraph"/>
        <w:numPr>
          <w:ilvl w:val="0"/>
          <w:numId w:val="23"/>
        </w:numPr>
        <w:spacing w:before="240" w:after="120"/>
        <w:contextualSpacing w:val="0"/>
      </w:pPr>
      <w:r>
        <w:t xml:space="preserve">Plot partial effect variables using </w:t>
      </w:r>
      <w:proofErr w:type="spellStart"/>
      <w:r>
        <w:t>plot_partial_effects_on_outcome</w:t>
      </w:r>
      <w:proofErr w:type="spellEnd"/>
      <w:r>
        <w:t xml:space="preserve"> method and identify variable with no significant partial effects compared to baseline and one variable with significant partial effects. Include the screenshot of the plot in the document for these variables.</w:t>
      </w:r>
    </w:p>
    <w:p w14:paraId="40B1B418" w14:textId="668C3BC7" w:rsidR="00ED15E0" w:rsidRDefault="00030436" w:rsidP="00030436">
      <w:pPr>
        <w:ind w:left="360"/>
        <w:rPr>
          <w:noProof/>
        </w:rPr>
      </w:pPr>
      <w:r w:rsidRPr="00030436">
        <w:drawing>
          <wp:inline distT="0" distB="0" distL="0" distR="0" wp14:anchorId="3D83EB29" wp14:editId="3A98F9C1">
            <wp:extent cx="2686050" cy="2121793"/>
            <wp:effectExtent l="0" t="0" r="0" b="0"/>
            <wp:docPr id="59870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06443" name=""/>
                    <pic:cNvPicPr/>
                  </pic:nvPicPr>
                  <pic:blipFill>
                    <a:blip r:embed="rId7"/>
                    <a:stretch>
                      <a:fillRect/>
                    </a:stretch>
                  </pic:blipFill>
                  <pic:spPr>
                    <a:xfrm>
                      <a:off x="0" y="0"/>
                      <a:ext cx="2695542" cy="2129291"/>
                    </a:xfrm>
                    <a:prstGeom prst="rect">
                      <a:avLst/>
                    </a:prstGeom>
                  </pic:spPr>
                </pic:pic>
              </a:graphicData>
            </a:graphic>
          </wp:inline>
        </w:drawing>
      </w:r>
      <w:r w:rsidRPr="00030436">
        <w:rPr>
          <w:noProof/>
        </w:rPr>
        <w:t xml:space="preserve"> </w:t>
      </w:r>
      <w:r w:rsidRPr="00030436">
        <w:drawing>
          <wp:inline distT="0" distB="0" distL="0" distR="0" wp14:anchorId="7B766804" wp14:editId="47855A36">
            <wp:extent cx="2686050" cy="2121793"/>
            <wp:effectExtent l="0" t="0" r="0" b="0"/>
            <wp:docPr id="12901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40609" name=""/>
                    <pic:cNvPicPr/>
                  </pic:nvPicPr>
                  <pic:blipFill>
                    <a:blip r:embed="rId8"/>
                    <a:stretch>
                      <a:fillRect/>
                    </a:stretch>
                  </pic:blipFill>
                  <pic:spPr>
                    <a:xfrm>
                      <a:off x="0" y="0"/>
                      <a:ext cx="2694315" cy="2128322"/>
                    </a:xfrm>
                    <a:prstGeom prst="rect">
                      <a:avLst/>
                    </a:prstGeom>
                  </pic:spPr>
                </pic:pic>
              </a:graphicData>
            </a:graphic>
          </wp:inline>
        </w:drawing>
      </w:r>
    </w:p>
    <w:p w14:paraId="70F1CE30" w14:textId="54F765E3" w:rsidR="00030436" w:rsidRPr="00030436" w:rsidRDefault="00030436" w:rsidP="00030436">
      <w:pPr>
        <w:ind w:left="720"/>
        <w:rPr>
          <w:color w:val="0B769F" w:themeColor="accent4" w:themeShade="BF"/>
        </w:rPr>
      </w:pPr>
      <w:r w:rsidRPr="00030436">
        <w:rPr>
          <w:color w:val="0B769F" w:themeColor="accent4" w:themeShade="BF"/>
        </w:rPr>
        <w:lastRenderedPageBreak/>
        <w:t>The partial</w:t>
      </w:r>
      <w:r w:rsidR="00AF0A8B">
        <w:rPr>
          <w:color w:val="0B769F" w:themeColor="accent4" w:themeShade="BF"/>
        </w:rPr>
        <w:t xml:space="preserve"> </w:t>
      </w:r>
      <w:r w:rsidRPr="00030436">
        <w:rPr>
          <w:color w:val="0B769F" w:themeColor="accent4" w:themeShade="BF"/>
        </w:rPr>
        <w:t xml:space="preserve">effects plots show how predicted survival changes when selected variables are varied while holding other model variables constant. </w:t>
      </w:r>
      <w:proofErr w:type="spellStart"/>
      <w:r w:rsidRPr="00030436">
        <w:rPr>
          <w:color w:val="0B769F" w:themeColor="accent4" w:themeShade="BF"/>
        </w:rPr>
        <w:t>LIMIT_BAL_group</w:t>
      </w:r>
      <w:proofErr w:type="spellEnd"/>
      <w:r w:rsidRPr="00030436">
        <w:rPr>
          <w:color w:val="0B769F" w:themeColor="accent4" w:themeShade="BF"/>
        </w:rPr>
        <w:t xml:space="preserve"> has a strong and significant partial effect. Low Limit customers show the steepest decline in survival probability, indicating the highest risk of first payment delay. In contrast, age groups &lt;30 and 50+ do not show significant partial effects compared with the baseline group 30–39, since their hazard ratios are close to 1 and their p</w:t>
      </w:r>
      <w:r w:rsidR="002236BE">
        <w:rPr>
          <w:color w:val="0B769F" w:themeColor="accent4" w:themeShade="BF"/>
        </w:rPr>
        <w:t xml:space="preserve"> </w:t>
      </w:r>
      <w:r w:rsidRPr="00030436">
        <w:rPr>
          <w:color w:val="0B769F" w:themeColor="accent4" w:themeShade="BF"/>
        </w:rPr>
        <w:t>values are above 0.05. Therefore, credit limit group is a significant predictor of time</w:t>
      </w:r>
      <w:r w:rsidR="002236BE">
        <w:rPr>
          <w:color w:val="0B769F" w:themeColor="accent4" w:themeShade="BF"/>
        </w:rPr>
        <w:t xml:space="preserve"> </w:t>
      </w:r>
      <w:r w:rsidRPr="00030436">
        <w:rPr>
          <w:color w:val="0B769F" w:themeColor="accent4" w:themeShade="BF"/>
        </w:rPr>
        <w:t>to</w:t>
      </w:r>
      <w:r w:rsidR="002236BE">
        <w:rPr>
          <w:color w:val="0B769F" w:themeColor="accent4" w:themeShade="BF"/>
        </w:rPr>
        <w:t xml:space="preserve"> </w:t>
      </w:r>
      <w:r w:rsidRPr="00030436">
        <w:rPr>
          <w:color w:val="0B769F" w:themeColor="accent4" w:themeShade="BF"/>
        </w:rPr>
        <w:t>first</w:t>
      </w:r>
      <w:r w:rsidR="002236BE">
        <w:rPr>
          <w:color w:val="0B769F" w:themeColor="accent4" w:themeShade="BF"/>
        </w:rPr>
        <w:t xml:space="preserve"> </w:t>
      </w:r>
      <w:r w:rsidRPr="00030436">
        <w:rPr>
          <w:color w:val="0B769F" w:themeColor="accent4" w:themeShade="BF"/>
        </w:rPr>
        <w:t>delay, while some age categories show little to no adjusted effect.</w:t>
      </w:r>
      <w:r w:rsidR="004420AA">
        <w:rPr>
          <w:color w:val="0B769F" w:themeColor="accent4" w:themeShade="BF"/>
        </w:rPr>
        <w:t xml:space="preserve"> </w:t>
      </w:r>
    </w:p>
    <w:p w14:paraId="61CF3F60" w14:textId="77777777" w:rsidR="00030436" w:rsidRDefault="00030436" w:rsidP="00030436">
      <w:pPr>
        <w:ind w:left="360"/>
      </w:pPr>
    </w:p>
    <w:sectPr w:rsidR="00030436" w:rsidSect="00150C7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F42"/>
    <w:multiLevelType w:val="hybridMultilevel"/>
    <w:tmpl w:val="2FE4CCD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004BB"/>
    <w:multiLevelType w:val="multilevel"/>
    <w:tmpl w:val="6CE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545"/>
    <w:multiLevelType w:val="multilevel"/>
    <w:tmpl w:val="4DA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692D"/>
    <w:multiLevelType w:val="multilevel"/>
    <w:tmpl w:val="3F4A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4419"/>
    <w:multiLevelType w:val="hybridMultilevel"/>
    <w:tmpl w:val="F68E4E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E26916"/>
    <w:multiLevelType w:val="multilevel"/>
    <w:tmpl w:val="81F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046E"/>
    <w:multiLevelType w:val="multilevel"/>
    <w:tmpl w:val="3F34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D727A"/>
    <w:multiLevelType w:val="multilevel"/>
    <w:tmpl w:val="2004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34A4"/>
    <w:multiLevelType w:val="multilevel"/>
    <w:tmpl w:val="53AC68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0307D"/>
    <w:multiLevelType w:val="multilevel"/>
    <w:tmpl w:val="CC3A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5E5617"/>
    <w:multiLevelType w:val="multilevel"/>
    <w:tmpl w:val="15048F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C0FA8"/>
    <w:multiLevelType w:val="hybridMultilevel"/>
    <w:tmpl w:val="4E94D7A0"/>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1DD25BD"/>
    <w:multiLevelType w:val="multilevel"/>
    <w:tmpl w:val="EB20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25D42"/>
    <w:multiLevelType w:val="hybridMultilevel"/>
    <w:tmpl w:val="3C002D9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38527A6"/>
    <w:multiLevelType w:val="multilevel"/>
    <w:tmpl w:val="773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61912"/>
    <w:multiLevelType w:val="multilevel"/>
    <w:tmpl w:val="F6E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C4EEE"/>
    <w:multiLevelType w:val="multilevel"/>
    <w:tmpl w:val="8C787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A6F44"/>
    <w:multiLevelType w:val="multilevel"/>
    <w:tmpl w:val="9ABC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826BC"/>
    <w:multiLevelType w:val="multilevel"/>
    <w:tmpl w:val="66DEAC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436805"/>
    <w:multiLevelType w:val="multilevel"/>
    <w:tmpl w:val="AE8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44B98"/>
    <w:multiLevelType w:val="multilevel"/>
    <w:tmpl w:val="7EE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962FD"/>
    <w:multiLevelType w:val="hybridMultilevel"/>
    <w:tmpl w:val="A468D73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7F2D53"/>
    <w:multiLevelType w:val="hybridMultilevel"/>
    <w:tmpl w:val="56DE0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A4A67EC"/>
    <w:multiLevelType w:val="multilevel"/>
    <w:tmpl w:val="3CF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452"/>
    <w:multiLevelType w:val="multilevel"/>
    <w:tmpl w:val="D9A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54843"/>
    <w:multiLevelType w:val="multilevel"/>
    <w:tmpl w:val="0E9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45447"/>
    <w:multiLevelType w:val="multilevel"/>
    <w:tmpl w:val="F098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C5808"/>
    <w:multiLevelType w:val="multilevel"/>
    <w:tmpl w:val="DEE214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989503">
    <w:abstractNumId w:val="3"/>
  </w:num>
  <w:num w:numId="2" w16cid:durableId="1895460797">
    <w:abstractNumId w:val="14"/>
  </w:num>
  <w:num w:numId="3" w16cid:durableId="1169636016">
    <w:abstractNumId w:val="23"/>
  </w:num>
  <w:num w:numId="4" w16cid:durableId="2082364871">
    <w:abstractNumId w:val="16"/>
  </w:num>
  <w:num w:numId="5" w16cid:durableId="301235134">
    <w:abstractNumId w:val="20"/>
  </w:num>
  <w:num w:numId="6" w16cid:durableId="60909337">
    <w:abstractNumId w:val="6"/>
  </w:num>
  <w:num w:numId="7" w16cid:durableId="304818912">
    <w:abstractNumId w:val="26"/>
  </w:num>
  <w:num w:numId="8" w16cid:durableId="959455665">
    <w:abstractNumId w:val="5"/>
  </w:num>
  <w:num w:numId="9" w16cid:durableId="2100127865">
    <w:abstractNumId w:val="17"/>
  </w:num>
  <w:num w:numId="10" w16cid:durableId="73430152">
    <w:abstractNumId w:val="12"/>
  </w:num>
  <w:num w:numId="11" w16cid:durableId="1008403682">
    <w:abstractNumId w:val="19"/>
  </w:num>
  <w:num w:numId="12" w16cid:durableId="928658135">
    <w:abstractNumId w:val="25"/>
  </w:num>
  <w:num w:numId="13" w16cid:durableId="614140210">
    <w:abstractNumId w:val="9"/>
  </w:num>
  <w:num w:numId="14" w16cid:durableId="2060126961">
    <w:abstractNumId w:val="1"/>
  </w:num>
  <w:num w:numId="15" w16cid:durableId="987712089">
    <w:abstractNumId w:val="27"/>
  </w:num>
  <w:num w:numId="16" w16cid:durableId="2110151636">
    <w:abstractNumId w:val="24"/>
  </w:num>
  <w:num w:numId="17" w16cid:durableId="96292066">
    <w:abstractNumId w:val="8"/>
  </w:num>
  <w:num w:numId="18" w16cid:durableId="217908577">
    <w:abstractNumId w:val="15"/>
  </w:num>
  <w:num w:numId="19" w16cid:durableId="623930389">
    <w:abstractNumId w:val="7"/>
  </w:num>
  <w:num w:numId="20" w16cid:durableId="32314759">
    <w:abstractNumId w:val="10"/>
  </w:num>
  <w:num w:numId="21" w16cid:durableId="582035361">
    <w:abstractNumId w:val="18"/>
  </w:num>
  <w:num w:numId="22" w16cid:durableId="705713567">
    <w:abstractNumId w:val="2"/>
  </w:num>
  <w:num w:numId="23" w16cid:durableId="1220357303">
    <w:abstractNumId w:val="4"/>
  </w:num>
  <w:num w:numId="24" w16cid:durableId="212618577">
    <w:abstractNumId w:val="21"/>
  </w:num>
  <w:num w:numId="25" w16cid:durableId="1535532064">
    <w:abstractNumId w:val="0"/>
  </w:num>
  <w:num w:numId="26" w16cid:durableId="1596094506">
    <w:abstractNumId w:val="11"/>
  </w:num>
  <w:num w:numId="27" w16cid:durableId="1745375020">
    <w:abstractNumId w:val="13"/>
  </w:num>
  <w:num w:numId="28" w16cid:durableId="4562165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12"/>
    <w:rsid w:val="00030436"/>
    <w:rsid w:val="00050A36"/>
    <w:rsid w:val="00150C7D"/>
    <w:rsid w:val="0017063A"/>
    <w:rsid w:val="0018189E"/>
    <w:rsid w:val="001C5D96"/>
    <w:rsid w:val="002236BE"/>
    <w:rsid w:val="00335A73"/>
    <w:rsid w:val="003F6E84"/>
    <w:rsid w:val="004420AA"/>
    <w:rsid w:val="004A2706"/>
    <w:rsid w:val="004F1C28"/>
    <w:rsid w:val="004F5887"/>
    <w:rsid w:val="005045C1"/>
    <w:rsid w:val="005B17D9"/>
    <w:rsid w:val="005E35CF"/>
    <w:rsid w:val="005F153E"/>
    <w:rsid w:val="006623C0"/>
    <w:rsid w:val="007A4DD5"/>
    <w:rsid w:val="008570FA"/>
    <w:rsid w:val="008D077F"/>
    <w:rsid w:val="009102DE"/>
    <w:rsid w:val="00954A4B"/>
    <w:rsid w:val="009B300B"/>
    <w:rsid w:val="009C46F2"/>
    <w:rsid w:val="00A17F2F"/>
    <w:rsid w:val="00A61BEE"/>
    <w:rsid w:val="00AE6E12"/>
    <w:rsid w:val="00AF0A8B"/>
    <w:rsid w:val="00B725A4"/>
    <w:rsid w:val="00BC2B71"/>
    <w:rsid w:val="00C81A5E"/>
    <w:rsid w:val="00CD055C"/>
    <w:rsid w:val="00D24A79"/>
    <w:rsid w:val="00ED15E0"/>
    <w:rsid w:val="00FB6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81F1"/>
  <w15:chartTrackingRefBased/>
  <w15:docId w15:val="{16733A21-CECA-43DE-AA10-2CF90879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E12"/>
    <w:rPr>
      <w:rFonts w:eastAsiaTheme="majorEastAsia" w:cstheme="majorBidi"/>
      <w:color w:val="272727" w:themeColor="text1" w:themeTint="D8"/>
    </w:rPr>
  </w:style>
  <w:style w:type="paragraph" w:styleId="Title">
    <w:name w:val="Title"/>
    <w:basedOn w:val="Normal"/>
    <w:next w:val="Normal"/>
    <w:link w:val="TitleChar"/>
    <w:uiPriority w:val="10"/>
    <w:qFormat/>
    <w:rsid w:val="00AE6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E12"/>
    <w:pPr>
      <w:spacing w:before="160"/>
      <w:jc w:val="center"/>
    </w:pPr>
    <w:rPr>
      <w:i/>
      <w:iCs/>
      <w:color w:val="404040" w:themeColor="text1" w:themeTint="BF"/>
    </w:rPr>
  </w:style>
  <w:style w:type="character" w:customStyle="1" w:styleId="QuoteChar">
    <w:name w:val="Quote Char"/>
    <w:basedOn w:val="DefaultParagraphFont"/>
    <w:link w:val="Quote"/>
    <w:uiPriority w:val="29"/>
    <w:rsid w:val="00AE6E12"/>
    <w:rPr>
      <w:i/>
      <w:iCs/>
      <w:color w:val="404040" w:themeColor="text1" w:themeTint="BF"/>
    </w:rPr>
  </w:style>
  <w:style w:type="paragraph" w:styleId="ListParagraph">
    <w:name w:val="List Paragraph"/>
    <w:basedOn w:val="Normal"/>
    <w:uiPriority w:val="34"/>
    <w:qFormat/>
    <w:rsid w:val="00AE6E12"/>
    <w:pPr>
      <w:ind w:left="720"/>
      <w:contextualSpacing/>
    </w:pPr>
  </w:style>
  <w:style w:type="character" w:styleId="IntenseEmphasis">
    <w:name w:val="Intense Emphasis"/>
    <w:basedOn w:val="DefaultParagraphFont"/>
    <w:uiPriority w:val="21"/>
    <w:qFormat/>
    <w:rsid w:val="00AE6E12"/>
    <w:rPr>
      <w:i/>
      <w:iCs/>
      <w:color w:val="0F4761" w:themeColor="accent1" w:themeShade="BF"/>
    </w:rPr>
  </w:style>
  <w:style w:type="paragraph" w:styleId="IntenseQuote">
    <w:name w:val="Intense Quote"/>
    <w:basedOn w:val="Normal"/>
    <w:next w:val="Normal"/>
    <w:link w:val="IntenseQuoteChar"/>
    <w:uiPriority w:val="30"/>
    <w:qFormat/>
    <w:rsid w:val="00AE6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E12"/>
    <w:rPr>
      <w:i/>
      <w:iCs/>
      <w:color w:val="0F4761" w:themeColor="accent1" w:themeShade="BF"/>
    </w:rPr>
  </w:style>
  <w:style w:type="character" w:styleId="IntenseReference">
    <w:name w:val="Intense Reference"/>
    <w:basedOn w:val="DefaultParagraphFont"/>
    <w:uiPriority w:val="32"/>
    <w:qFormat/>
    <w:rsid w:val="00AE6E12"/>
    <w:rPr>
      <w:b/>
      <w:bCs/>
      <w:smallCaps/>
      <w:color w:val="0F4761" w:themeColor="accent1" w:themeShade="BF"/>
      <w:spacing w:val="5"/>
    </w:rPr>
  </w:style>
  <w:style w:type="character" w:styleId="Hyperlink">
    <w:name w:val="Hyperlink"/>
    <w:basedOn w:val="DefaultParagraphFont"/>
    <w:uiPriority w:val="99"/>
    <w:unhideWhenUsed/>
    <w:rsid w:val="00CD055C"/>
    <w:rPr>
      <w:color w:val="467886" w:themeColor="hyperlink"/>
      <w:u w:val="single"/>
    </w:rPr>
  </w:style>
  <w:style w:type="character" w:styleId="UnresolvedMention">
    <w:name w:val="Unresolved Mention"/>
    <w:basedOn w:val="DefaultParagraphFont"/>
    <w:uiPriority w:val="99"/>
    <w:semiHidden/>
    <w:unhideWhenUsed/>
    <w:rsid w:val="00CD055C"/>
    <w:rPr>
      <w:color w:val="605E5C"/>
      <w:shd w:val="clear" w:color="auto" w:fill="E1DFDD"/>
    </w:rPr>
  </w:style>
  <w:style w:type="paragraph" w:styleId="NormalWeb">
    <w:name w:val="Normal (Web)"/>
    <w:basedOn w:val="Normal"/>
    <w:uiPriority w:val="99"/>
    <w:semiHidden/>
    <w:unhideWhenUsed/>
    <w:rsid w:val="009102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02DE"/>
    <w:rPr>
      <w:b/>
      <w:bCs/>
    </w:rPr>
  </w:style>
  <w:style w:type="character" w:styleId="PlaceholderText">
    <w:name w:val="Placeholder Text"/>
    <w:basedOn w:val="DefaultParagraphFont"/>
    <w:uiPriority w:val="99"/>
    <w:semiHidden/>
    <w:rsid w:val="009102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0040">
      <w:bodyDiv w:val="1"/>
      <w:marLeft w:val="0"/>
      <w:marRight w:val="0"/>
      <w:marTop w:val="0"/>
      <w:marBottom w:val="0"/>
      <w:divBdr>
        <w:top w:val="none" w:sz="0" w:space="0" w:color="auto"/>
        <w:left w:val="none" w:sz="0" w:space="0" w:color="auto"/>
        <w:bottom w:val="none" w:sz="0" w:space="0" w:color="auto"/>
        <w:right w:val="none" w:sz="0" w:space="0" w:color="auto"/>
      </w:divBdr>
      <w:divsChild>
        <w:div w:id="1879663061">
          <w:marLeft w:val="0"/>
          <w:marRight w:val="0"/>
          <w:marTop w:val="0"/>
          <w:marBottom w:val="0"/>
          <w:divBdr>
            <w:top w:val="none" w:sz="0" w:space="0" w:color="auto"/>
            <w:left w:val="none" w:sz="0" w:space="0" w:color="auto"/>
            <w:bottom w:val="none" w:sz="0" w:space="0" w:color="auto"/>
            <w:right w:val="none" w:sz="0" w:space="0" w:color="auto"/>
          </w:divBdr>
          <w:divsChild>
            <w:div w:id="1995452838">
              <w:marLeft w:val="0"/>
              <w:marRight w:val="0"/>
              <w:marTop w:val="0"/>
              <w:marBottom w:val="0"/>
              <w:divBdr>
                <w:top w:val="none" w:sz="0" w:space="0" w:color="auto"/>
                <w:left w:val="none" w:sz="0" w:space="0" w:color="auto"/>
                <w:bottom w:val="none" w:sz="0" w:space="0" w:color="auto"/>
                <w:right w:val="none" w:sz="0" w:space="0" w:color="auto"/>
              </w:divBdr>
              <w:divsChild>
                <w:div w:id="584148925">
                  <w:marLeft w:val="0"/>
                  <w:marRight w:val="0"/>
                  <w:marTop w:val="0"/>
                  <w:marBottom w:val="0"/>
                  <w:divBdr>
                    <w:top w:val="none" w:sz="0" w:space="0" w:color="auto"/>
                    <w:left w:val="none" w:sz="0" w:space="0" w:color="auto"/>
                    <w:bottom w:val="none" w:sz="0" w:space="0" w:color="auto"/>
                    <w:right w:val="none" w:sz="0" w:space="0" w:color="auto"/>
                  </w:divBdr>
                </w:div>
              </w:divsChild>
            </w:div>
            <w:div w:id="1425154266">
              <w:marLeft w:val="0"/>
              <w:marRight w:val="0"/>
              <w:marTop w:val="0"/>
              <w:marBottom w:val="0"/>
              <w:divBdr>
                <w:top w:val="none" w:sz="0" w:space="0" w:color="auto"/>
                <w:left w:val="none" w:sz="0" w:space="0" w:color="auto"/>
                <w:bottom w:val="none" w:sz="0" w:space="0" w:color="auto"/>
                <w:right w:val="none" w:sz="0" w:space="0" w:color="auto"/>
              </w:divBdr>
              <w:divsChild>
                <w:div w:id="83954308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07809522">
      <w:bodyDiv w:val="1"/>
      <w:marLeft w:val="0"/>
      <w:marRight w:val="0"/>
      <w:marTop w:val="0"/>
      <w:marBottom w:val="0"/>
      <w:divBdr>
        <w:top w:val="none" w:sz="0" w:space="0" w:color="auto"/>
        <w:left w:val="none" w:sz="0" w:space="0" w:color="auto"/>
        <w:bottom w:val="none" w:sz="0" w:space="0" w:color="auto"/>
        <w:right w:val="none" w:sz="0" w:space="0" w:color="auto"/>
      </w:divBdr>
    </w:div>
    <w:div w:id="872037435">
      <w:bodyDiv w:val="1"/>
      <w:marLeft w:val="0"/>
      <w:marRight w:val="0"/>
      <w:marTop w:val="0"/>
      <w:marBottom w:val="0"/>
      <w:divBdr>
        <w:top w:val="none" w:sz="0" w:space="0" w:color="auto"/>
        <w:left w:val="none" w:sz="0" w:space="0" w:color="auto"/>
        <w:bottom w:val="none" w:sz="0" w:space="0" w:color="auto"/>
        <w:right w:val="none" w:sz="0" w:space="0" w:color="auto"/>
      </w:divBdr>
    </w:div>
    <w:div w:id="977534994">
      <w:bodyDiv w:val="1"/>
      <w:marLeft w:val="0"/>
      <w:marRight w:val="0"/>
      <w:marTop w:val="0"/>
      <w:marBottom w:val="0"/>
      <w:divBdr>
        <w:top w:val="none" w:sz="0" w:space="0" w:color="auto"/>
        <w:left w:val="none" w:sz="0" w:space="0" w:color="auto"/>
        <w:bottom w:val="none" w:sz="0" w:space="0" w:color="auto"/>
        <w:right w:val="none" w:sz="0" w:space="0" w:color="auto"/>
      </w:divBdr>
      <w:divsChild>
        <w:div w:id="1149977450">
          <w:marLeft w:val="0"/>
          <w:marRight w:val="0"/>
          <w:marTop w:val="0"/>
          <w:marBottom w:val="0"/>
          <w:divBdr>
            <w:top w:val="none" w:sz="0" w:space="0" w:color="auto"/>
            <w:left w:val="none" w:sz="0" w:space="0" w:color="auto"/>
            <w:bottom w:val="none" w:sz="0" w:space="0" w:color="auto"/>
            <w:right w:val="none" w:sz="0" w:space="0" w:color="auto"/>
          </w:divBdr>
          <w:divsChild>
            <w:div w:id="441386668">
              <w:marLeft w:val="0"/>
              <w:marRight w:val="0"/>
              <w:marTop w:val="0"/>
              <w:marBottom w:val="0"/>
              <w:divBdr>
                <w:top w:val="none" w:sz="0" w:space="0" w:color="auto"/>
                <w:left w:val="none" w:sz="0" w:space="0" w:color="auto"/>
                <w:bottom w:val="none" w:sz="0" w:space="0" w:color="auto"/>
                <w:right w:val="none" w:sz="0" w:space="0" w:color="auto"/>
              </w:divBdr>
              <w:divsChild>
                <w:div w:id="977610318">
                  <w:marLeft w:val="0"/>
                  <w:marRight w:val="0"/>
                  <w:marTop w:val="0"/>
                  <w:marBottom w:val="0"/>
                  <w:divBdr>
                    <w:top w:val="none" w:sz="0" w:space="0" w:color="auto"/>
                    <w:left w:val="none" w:sz="0" w:space="0" w:color="auto"/>
                    <w:bottom w:val="none" w:sz="0" w:space="0" w:color="auto"/>
                    <w:right w:val="none" w:sz="0" w:space="0" w:color="auto"/>
                  </w:divBdr>
                </w:div>
              </w:divsChild>
            </w:div>
            <w:div w:id="475608356">
              <w:marLeft w:val="0"/>
              <w:marRight w:val="0"/>
              <w:marTop w:val="0"/>
              <w:marBottom w:val="0"/>
              <w:divBdr>
                <w:top w:val="none" w:sz="0" w:space="0" w:color="auto"/>
                <w:left w:val="none" w:sz="0" w:space="0" w:color="auto"/>
                <w:bottom w:val="none" w:sz="0" w:space="0" w:color="auto"/>
                <w:right w:val="none" w:sz="0" w:space="0" w:color="auto"/>
              </w:divBdr>
              <w:divsChild>
                <w:div w:id="21389157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08012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code/gpreda/default-of-credit-card-clients-predictive-model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1026</Words>
  <Characters>5736</Characters>
  <Application>Microsoft Office Word</Application>
  <DocSecurity>0</DocSecurity>
  <Lines>139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Hridita Rubyat</dc:creator>
  <cp:keywords/>
  <dc:description/>
  <cp:lastModifiedBy>Toby Wong</cp:lastModifiedBy>
  <cp:revision>21</cp:revision>
  <dcterms:created xsi:type="dcterms:W3CDTF">2026-04-08T23:09:00Z</dcterms:created>
  <dcterms:modified xsi:type="dcterms:W3CDTF">2026-04-19T20:47:00Z</dcterms:modified>
</cp:coreProperties>
</file>