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rFonts w:ascii="Arial" w:hAnsi="Arial" w:cs="Arial"/>
          <w:b/>
          <w:i w:val="0"/>
          <w:caps w:val="0"/>
          <w:color w:val="494949"/>
          <w:spacing w:val="0"/>
          <w:sz w:val="42"/>
          <w:szCs w:val="42"/>
        </w:rPr>
      </w:pPr>
      <w:r>
        <w:rPr>
          <w:rFonts w:hint="default" w:ascii="Arial" w:hAnsi="Arial" w:cs="Arial"/>
          <w:b/>
          <w:i w:val="0"/>
          <w:caps w:val="0"/>
          <w:color w:val="494949"/>
          <w:spacing w:val="0"/>
          <w:sz w:val="42"/>
          <w:szCs w:val="42"/>
          <w:bdr w:val="none" w:color="auto" w:sz="0" w:space="0"/>
        </w:rPr>
        <w:t>1. 数据库三范式是什么?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49494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第一范式：表中每个字段都不能再分。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49494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第二范式：满足第一范式并且表中的非主键字段都依赖于主键字段。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49494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第三范式：满足第二范式并且表中的非主键字段必须不传递依赖于主键字段。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C9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58313</dc:creator>
  <cp:lastModifiedBy>郭小军</cp:lastModifiedBy>
  <dcterms:modified xsi:type="dcterms:W3CDTF">2018-06-19T14:34:22Z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