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FB236" w14:textId="77777777" w:rsidR="008A491C" w:rsidRDefault="008A491C">
      <w:pPr>
        <w:jc w:val="center"/>
        <w:rPr>
          <w:rFonts w:ascii="Times New Roman" w:eastAsia="黑体" w:hAnsi="Times New Roman" w:cs="Times New Roman"/>
        </w:rPr>
      </w:pPr>
    </w:p>
    <w:p w14:paraId="0424C259" w14:textId="77777777" w:rsidR="008A491C"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3E811401" wp14:editId="78E9410D">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11408635" w14:textId="77777777" w:rsidR="008A491C" w:rsidRDefault="008A491C">
      <w:pPr>
        <w:rPr>
          <w:rFonts w:ascii="Times New Roman" w:eastAsia="黑体" w:hAnsi="Times New Roman" w:cs="Times New Roman"/>
        </w:rPr>
      </w:pPr>
    </w:p>
    <w:p w14:paraId="736969BB" w14:textId="77777777" w:rsidR="008A491C" w:rsidRDefault="008A491C">
      <w:pPr>
        <w:rPr>
          <w:rFonts w:ascii="Times New Roman" w:eastAsia="黑体" w:hAnsi="Times New Roman" w:cs="Times New Roman"/>
        </w:rPr>
      </w:pPr>
    </w:p>
    <w:p w14:paraId="2E0A19E7" w14:textId="77777777" w:rsidR="008A491C" w:rsidRDefault="008A491C">
      <w:pPr>
        <w:rPr>
          <w:rFonts w:ascii="Times New Roman" w:eastAsia="黑体" w:hAnsi="Times New Roman" w:cs="Times New Roman"/>
        </w:rPr>
      </w:pPr>
    </w:p>
    <w:p w14:paraId="54908D35" w14:textId="77777777" w:rsidR="008A491C"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4885FF5F" w14:textId="77777777" w:rsidR="008A491C" w:rsidRDefault="008A491C">
      <w:pPr>
        <w:rPr>
          <w:rFonts w:ascii="Times New Roman" w:eastAsia="黑体" w:hAnsi="Times New Roman" w:cs="Times New Roman"/>
        </w:rPr>
      </w:pPr>
    </w:p>
    <w:p w14:paraId="57A2C689" w14:textId="77777777" w:rsidR="008A491C" w:rsidRDefault="008A491C">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A491C" w14:paraId="6ECE4E0B" w14:textId="77777777">
        <w:trPr>
          <w:jc w:val="center"/>
        </w:trPr>
        <w:tc>
          <w:tcPr>
            <w:tcW w:w="1587" w:type="dxa"/>
          </w:tcPr>
          <w:p w14:paraId="1AA76C9C"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23FE534C"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8A491C" w14:paraId="13593D2B" w14:textId="77777777">
        <w:trPr>
          <w:jc w:val="center"/>
        </w:trPr>
        <w:tc>
          <w:tcPr>
            <w:tcW w:w="1587" w:type="dxa"/>
          </w:tcPr>
          <w:p w14:paraId="7B94E81D"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1A99A4F0"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8A491C" w14:paraId="4C0800DD" w14:textId="77777777">
        <w:trPr>
          <w:jc w:val="center"/>
        </w:trPr>
        <w:tc>
          <w:tcPr>
            <w:tcW w:w="1587" w:type="dxa"/>
          </w:tcPr>
          <w:p w14:paraId="618C5404"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5F7FFC89"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8A491C" w14:paraId="7B2743C1" w14:textId="77777777">
        <w:trPr>
          <w:jc w:val="center"/>
        </w:trPr>
        <w:tc>
          <w:tcPr>
            <w:tcW w:w="1587" w:type="dxa"/>
          </w:tcPr>
          <w:p w14:paraId="6A160A1B" w14:textId="77777777" w:rsidR="008A491C"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6A8E9642" w14:textId="77777777" w:rsidR="008A491C"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2C5F44E4" w14:textId="77777777" w:rsidR="008A491C" w:rsidRDefault="008A491C">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8A491C" w14:paraId="296E4008" w14:textId="77777777">
        <w:trPr>
          <w:trHeight w:val="567"/>
        </w:trPr>
        <w:tc>
          <w:tcPr>
            <w:tcW w:w="1757" w:type="dxa"/>
            <w:vAlign w:val="center"/>
          </w:tcPr>
          <w:p w14:paraId="5DE2A961"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5B88E42D"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2DA66871"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64018593"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8A491C" w14:paraId="12EA1744" w14:textId="77777777">
        <w:trPr>
          <w:trHeight w:val="487"/>
        </w:trPr>
        <w:tc>
          <w:tcPr>
            <w:tcW w:w="1757" w:type="dxa"/>
            <w:vMerge w:val="restart"/>
            <w:vAlign w:val="center"/>
          </w:tcPr>
          <w:p w14:paraId="059B2E67"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2D4FE170"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6C884C1E"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43DD1136" w14:textId="4BD1470D" w:rsidR="008A491C" w:rsidRDefault="008A491C">
            <w:pPr>
              <w:snapToGrid w:val="0"/>
              <w:jc w:val="center"/>
              <w:rPr>
                <w:rFonts w:ascii="Times New Roman" w:eastAsia="黑体" w:hAnsi="Times New Roman" w:cs="Times New Roman"/>
                <w:sz w:val="28"/>
              </w:rPr>
            </w:pPr>
          </w:p>
        </w:tc>
      </w:tr>
      <w:tr w:rsidR="008A491C" w14:paraId="10A4FC62" w14:textId="77777777">
        <w:trPr>
          <w:trHeight w:val="487"/>
        </w:trPr>
        <w:tc>
          <w:tcPr>
            <w:tcW w:w="1757" w:type="dxa"/>
            <w:vMerge/>
            <w:vAlign w:val="center"/>
          </w:tcPr>
          <w:p w14:paraId="398B4C97" w14:textId="77777777" w:rsidR="008A491C" w:rsidRDefault="008A491C">
            <w:pPr>
              <w:snapToGrid w:val="0"/>
              <w:jc w:val="center"/>
              <w:rPr>
                <w:rFonts w:ascii="Times New Roman" w:eastAsia="黑体" w:hAnsi="Times New Roman" w:cs="Times New Roman"/>
                <w:sz w:val="28"/>
              </w:rPr>
            </w:pPr>
            <w:bookmarkStart w:id="0" w:name="_Hlk81896805"/>
          </w:p>
        </w:tc>
        <w:tc>
          <w:tcPr>
            <w:tcW w:w="2494" w:type="dxa"/>
            <w:vAlign w:val="center"/>
          </w:tcPr>
          <w:p w14:paraId="3006223C"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765C286B"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48877BCB" w14:textId="369F910B" w:rsidR="008A491C" w:rsidRDefault="008A491C">
            <w:pPr>
              <w:snapToGrid w:val="0"/>
              <w:jc w:val="center"/>
              <w:rPr>
                <w:rFonts w:ascii="Times New Roman" w:eastAsia="黑体" w:hAnsi="Times New Roman" w:cs="Times New Roman"/>
                <w:sz w:val="28"/>
              </w:rPr>
            </w:pPr>
          </w:p>
        </w:tc>
      </w:tr>
      <w:tr w:rsidR="008A491C" w14:paraId="272FBA38" w14:textId="77777777">
        <w:trPr>
          <w:trHeight w:val="487"/>
        </w:trPr>
        <w:tc>
          <w:tcPr>
            <w:tcW w:w="1757" w:type="dxa"/>
            <w:vMerge/>
            <w:vAlign w:val="center"/>
          </w:tcPr>
          <w:p w14:paraId="2472E2B7" w14:textId="77777777" w:rsidR="008A491C" w:rsidRDefault="008A491C">
            <w:pPr>
              <w:snapToGrid w:val="0"/>
              <w:jc w:val="center"/>
              <w:rPr>
                <w:rFonts w:ascii="Times New Roman" w:eastAsia="黑体" w:hAnsi="Times New Roman" w:cs="Times New Roman"/>
                <w:sz w:val="28"/>
              </w:rPr>
            </w:pPr>
          </w:p>
        </w:tc>
        <w:tc>
          <w:tcPr>
            <w:tcW w:w="2494" w:type="dxa"/>
            <w:vAlign w:val="center"/>
          </w:tcPr>
          <w:p w14:paraId="66705946"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7F1DC79D"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347FD589" w14:textId="228C2C3D" w:rsidR="008A491C" w:rsidRDefault="008A491C">
            <w:pPr>
              <w:snapToGrid w:val="0"/>
              <w:jc w:val="center"/>
              <w:rPr>
                <w:rFonts w:ascii="Times New Roman" w:eastAsia="黑体" w:hAnsi="Times New Roman" w:cs="Times New Roman"/>
                <w:sz w:val="28"/>
              </w:rPr>
            </w:pPr>
          </w:p>
        </w:tc>
      </w:tr>
      <w:bookmarkEnd w:id="0"/>
      <w:tr w:rsidR="008A491C" w14:paraId="62E00862" w14:textId="77777777">
        <w:trPr>
          <w:trHeight w:val="487"/>
        </w:trPr>
        <w:tc>
          <w:tcPr>
            <w:tcW w:w="1757" w:type="dxa"/>
            <w:vAlign w:val="center"/>
          </w:tcPr>
          <w:p w14:paraId="6D07BAD3"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5C97319A"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2F56D203" w14:textId="77777777" w:rsidR="008A491C"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30C39A9A" w14:textId="77777777" w:rsidR="008A491C"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5B0ED3CB" w14:textId="67F0CA3B" w:rsidR="008A491C" w:rsidRDefault="008A491C">
            <w:pPr>
              <w:snapToGrid w:val="0"/>
              <w:jc w:val="center"/>
              <w:rPr>
                <w:rFonts w:ascii="Times New Roman" w:eastAsia="黑体" w:hAnsi="Times New Roman" w:cs="Times New Roman"/>
                <w:sz w:val="28"/>
              </w:rPr>
            </w:pPr>
          </w:p>
        </w:tc>
      </w:tr>
      <w:tr w:rsidR="008A491C" w14:paraId="7A2CED0E" w14:textId="77777777">
        <w:trPr>
          <w:trHeight w:val="907"/>
        </w:trPr>
        <w:tc>
          <w:tcPr>
            <w:tcW w:w="1757" w:type="dxa"/>
            <w:vAlign w:val="center"/>
          </w:tcPr>
          <w:p w14:paraId="47AE782F" w14:textId="77777777" w:rsidR="008A491C"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0B458216" w14:textId="77777777" w:rsidR="008A491C" w:rsidRDefault="008A491C">
            <w:pPr>
              <w:snapToGrid w:val="0"/>
              <w:jc w:val="center"/>
              <w:rPr>
                <w:rFonts w:ascii="Times New Roman" w:eastAsia="黑体" w:hAnsi="Times New Roman" w:cs="Times New Roman"/>
                <w:sz w:val="28"/>
              </w:rPr>
            </w:pPr>
          </w:p>
        </w:tc>
        <w:tc>
          <w:tcPr>
            <w:tcW w:w="1102" w:type="dxa"/>
            <w:vAlign w:val="center"/>
          </w:tcPr>
          <w:p w14:paraId="049C45C3" w14:textId="1B8B2854" w:rsidR="008A491C" w:rsidRDefault="008A491C">
            <w:pPr>
              <w:snapToGrid w:val="0"/>
              <w:jc w:val="center"/>
              <w:rPr>
                <w:rFonts w:ascii="Times New Roman" w:eastAsia="黑体" w:hAnsi="Times New Roman" w:cs="Times New Roman"/>
                <w:sz w:val="28"/>
              </w:rPr>
            </w:pPr>
          </w:p>
        </w:tc>
      </w:tr>
    </w:tbl>
    <w:p w14:paraId="288F1A2A" w14:textId="77777777" w:rsidR="008A491C" w:rsidRDefault="008A491C">
      <w:pPr>
        <w:rPr>
          <w:rFonts w:ascii="Times New Roman" w:eastAsia="黑体" w:hAnsi="Times New Roman" w:cs="Times New Roman"/>
        </w:rPr>
      </w:pPr>
    </w:p>
    <w:p w14:paraId="14EB7C47" w14:textId="77777777" w:rsidR="008A491C"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4</w:t>
      </w:r>
      <w:r>
        <w:rPr>
          <w:rFonts w:ascii="Times New Roman" w:eastAsia="黑体" w:hAnsi="Times New Roman" w:cs="Times New Roman" w:hint="eastAsia"/>
          <w:sz w:val="28"/>
        </w:rPr>
        <w:t>日</w:t>
      </w:r>
    </w:p>
    <w:p w14:paraId="290B5A0E" w14:textId="77777777" w:rsidR="008A491C" w:rsidRDefault="008A491C">
      <w:pPr>
        <w:widowControl/>
        <w:jc w:val="left"/>
        <w:rPr>
          <w:rFonts w:ascii="Times New Roman" w:eastAsia="黑体" w:hAnsi="Times New Roman" w:cs="Times New Roman"/>
        </w:rPr>
        <w:sectPr w:rsidR="008A491C">
          <w:pgSz w:w="11906" w:h="16838"/>
          <w:pgMar w:top="1440" w:right="1800" w:bottom="1440" w:left="1800" w:header="851" w:footer="992" w:gutter="0"/>
          <w:cols w:space="425"/>
          <w:docGrid w:type="lines" w:linePitch="312"/>
        </w:sectPr>
      </w:pPr>
    </w:p>
    <w:p w14:paraId="338A8FA5"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65B58E7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3</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信息安全与隐私</w:t>
      </w:r>
    </w:p>
    <w:p w14:paraId="01288B03"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0B69A2A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6E916264"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5A78827C"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5C32C3B5"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案例内容在第</w:t>
      </w:r>
      <w:r>
        <w:rPr>
          <w:rFonts w:ascii="Times New Roman" w:eastAsia="黑体" w:hAnsi="Times New Roman" w:cs="Times New Roman" w:hint="eastAsia"/>
          <w:sz w:val="24"/>
        </w:rPr>
        <w:t>1</w:t>
      </w:r>
      <w:r>
        <w:rPr>
          <w:rFonts w:ascii="Times New Roman" w:eastAsia="黑体" w:hAnsi="Times New Roman" w:cs="Times New Roman" w:hint="eastAsia"/>
          <w:sz w:val="24"/>
        </w:rPr>
        <w:t>章与第</w:t>
      </w:r>
      <w:r>
        <w:rPr>
          <w:rFonts w:ascii="Times New Roman" w:eastAsia="黑体" w:hAnsi="Times New Roman" w:cs="Times New Roman" w:hint="eastAsia"/>
          <w:sz w:val="24"/>
        </w:rPr>
        <w:t>2</w:t>
      </w:r>
      <w:r>
        <w:rPr>
          <w:rFonts w:ascii="Times New Roman" w:eastAsia="黑体" w:hAnsi="Times New Roman" w:cs="Times New Roman" w:hint="eastAsia"/>
          <w:sz w:val="24"/>
        </w:rPr>
        <w:t>章作业中进行了详细介绍，在此便进行简要概述。</w:t>
      </w:r>
    </w:p>
    <w:p w14:paraId="228AEFD7" w14:textId="77777777" w:rsidR="008A491C"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471FD2F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2AED08A0"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6270B31F"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277195FF" wp14:editId="4B941E4B">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189493AA"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16F1ADB6" w14:textId="77777777" w:rsidR="008A491C" w:rsidRDefault="00000000">
      <w:pPr>
        <w:pStyle w:val="2"/>
      </w:pPr>
      <w:r>
        <w:rPr>
          <w:rFonts w:ascii="Times New Roman" w:eastAsia="黑体" w:hAnsi="Times New Roman" w:cs="Times New Roman"/>
        </w:rPr>
        <w:lastRenderedPageBreak/>
        <w:t xml:space="preserve">2.2 </w:t>
      </w:r>
      <w:r>
        <w:rPr>
          <w:rFonts w:ascii="Times New Roman" w:eastAsia="黑体" w:hAnsi="Times New Roman" w:cs="Times New Roman" w:hint="eastAsia"/>
        </w:rPr>
        <w:t>案例介绍</w:t>
      </w:r>
    </w:p>
    <w:p w14:paraId="50A1E77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w:t>
      </w:r>
      <w:r>
        <w:rPr>
          <w:rFonts w:ascii="Times New Roman" w:eastAsia="黑体" w:hAnsi="Times New Roman" w:cs="Times New Roman"/>
          <w:sz w:val="24"/>
        </w:rPr>
        <w:t>除了最常用的定位服务外，北斗卫星系统的短报文功能也是独有的，但这个功能如何实现民用，为人们的工作生活提供便利成为一个难题。</w:t>
      </w:r>
    </w:p>
    <w:p w14:paraId="6E3ADECE"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638285B6"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21508125" w14:textId="77777777" w:rsidR="008A491C"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28771CBE"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noProof/>
        </w:rPr>
        <w:drawing>
          <wp:inline distT="0" distB="0" distL="0" distR="0" wp14:anchorId="0C5B081A" wp14:editId="1B5293A8">
            <wp:extent cx="5479415" cy="244221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r="247" b="20993"/>
                    <a:stretch>
                      <a:fillRect/>
                    </a:stretch>
                  </pic:blipFill>
                  <pic:spPr>
                    <a:xfrm>
                      <a:off x="0" y="0"/>
                      <a:ext cx="5531131" cy="2465128"/>
                    </a:xfrm>
                    <a:prstGeom prst="rect">
                      <a:avLst/>
                    </a:prstGeom>
                    <a:noFill/>
                    <a:ln>
                      <a:noFill/>
                    </a:ln>
                  </pic:spPr>
                </pic:pic>
              </a:graphicData>
            </a:graphic>
          </wp:inline>
        </w:drawing>
      </w:r>
    </w:p>
    <w:p w14:paraId="7C96769E"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华为卫星通信系统</w:t>
      </w:r>
    </w:p>
    <w:p w14:paraId="3351842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华为，一直是通信行业的引领者、通信技术的创新者，持续引领通信创新，构建万物互联的智能世界。为了突破通信死角，通过新通信协议、高性能硬件、高增益算法、专用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5948D16B" w14:textId="77777777" w:rsidR="008A491C"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49F74F13" wp14:editId="2FA16AD6">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l="5518" r="4772" b="10077"/>
                    <a:stretch>
                      <a:fillRect/>
                    </a:stretch>
                  </pic:blipFill>
                  <pic:spPr>
                    <a:xfrm>
                      <a:off x="0" y="0"/>
                      <a:ext cx="5704074" cy="1940348"/>
                    </a:xfrm>
                    <a:prstGeom prst="rect">
                      <a:avLst/>
                    </a:prstGeom>
                    <a:ln>
                      <a:noFill/>
                    </a:ln>
                  </pic:spPr>
                </pic:pic>
              </a:graphicData>
            </a:graphic>
          </wp:inline>
        </w:drawing>
      </w:r>
    </w:p>
    <w:p w14:paraId="5996E79C" w14:textId="77777777" w:rsidR="008A491C"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华为卫星通信设计</w:t>
      </w:r>
    </w:p>
    <w:p w14:paraId="0D40418A"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w:t>
      </w:r>
      <w:r>
        <w:rPr>
          <w:rFonts w:ascii="Times New Roman" w:eastAsia="黑体" w:hAnsi="Times New Roman" w:cs="Times New Roman" w:hint="eastAsia"/>
          <w:sz w:val="24"/>
        </w:rPr>
        <w:lastRenderedPageBreak/>
        <w:t>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实现与北斗卫星的交互通信。同样，若需要发送我们的位置信息，华为的卫星通信功能也可以一键生成轨迹，非常方便接收者获取情况，及时到达相应地点。</w:t>
      </w:r>
    </w:p>
    <w:p w14:paraId="751EF3E4" w14:textId="77777777" w:rsidR="008A491C"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3F7F6AD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下面将深刻分析</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具有的安全与隐私隐患。</w:t>
      </w:r>
    </w:p>
    <w:p w14:paraId="16327B12" w14:textId="77777777" w:rsidR="008A491C"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安全隐患</w:t>
      </w:r>
    </w:p>
    <w:p w14:paraId="29A82786"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中科院微小卫星创新研究院软件评测中心主任常亮曾在采访中说过，卫星互联网的发展面临着巨大的技术挑战，特别是在信息安全领域，设施建设数量越大，融合程度越深，系统的安全隐患也会越大，卫星互联网被控制、被瘫痪的可能性也越大。保证国家重要卫星通信网络的信息安全，仍是一个长期的核心技术课题。</w:t>
      </w:r>
    </w:p>
    <w:p w14:paraId="33010C2F"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在第</w:t>
      </w:r>
      <w:r>
        <w:rPr>
          <w:rFonts w:ascii="Times New Roman" w:eastAsia="黑体" w:hAnsi="Times New Roman" w:cs="Times New Roman" w:hint="eastAsia"/>
          <w:sz w:val="24"/>
        </w:rPr>
        <w:t>2</w:t>
      </w:r>
      <w:r>
        <w:rPr>
          <w:rFonts w:ascii="Times New Roman" w:eastAsia="黑体" w:hAnsi="Times New Roman" w:cs="Times New Roman" w:hint="eastAsia"/>
          <w:sz w:val="24"/>
        </w:rPr>
        <w:t>章分析报告中，我也对</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的安全隐患进行了简要分析。目前，华为通过自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w:t>
      </w:r>
      <w:r>
        <w:rPr>
          <w:rFonts w:ascii="Times New Roman" w:eastAsia="黑体" w:hAnsi="Times New Roman" w:cs="Times New Roman" w:hint="eastAsia"/>
          <w:sz w:val="24"/>
        </w:rPr>
        <w:t>APP</w:t>
      </w:r>
      <w:r>
        <w:rPr>
          <w:rFonts w:ascii="Times New Roman" w:eastAsia="黑体" w:hAnsi="Times New Roman" w:cs="Times New Roman" w:hint="eastAsia"/>
          <w:sz w:val="24"/>
        </w:rPr>
        <w:t>安全性遭受威胁，被外部势力等通过手机病毒、木马等方式入侵手机终端，恶意占用</w:t>
      </w:r>
      <w:r>
        <w:rPr>
          <w:rFonts w:ascii="Times New Roman" w:eastAsia="黑体" w:hAnsi="Times New Roman" w:cs="Times New Roman" w:hint="eastAsia"/>
          <w:sz w:val="24"/>
        </w:rPr>
        <w:t>APP</w:t>
      </w:r>
      <w:r>
        <w:rPr>
          <w:rFonts w:ascii="Times New Roman" w:eastAsia="黑体" w:hAnsi="Times New Roman" w:cs="Times New Roman" w:hint="eastAsia"/>
          <w:sz w:val="24"/>
        </w:rPr>
        <w:t>并发送大量无用信息占据卫星通信资源，会对国家卫星安全会造成不小的威胁。</w:t>
      </w:r>
    </w:p>
    <w:p w14:paraId="4A3D2C02"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在华为与卫星进行通信的传输过程中，由于使用电磁波进行传输，通信链路极易受到干扰和攻击。郝经利在在</w:t>
      </w:r>
      <w:r>
        <w:rPr>
          <w:rFonts w:ascii="Times New Roman" w:eastAsia="黑体" w:hAnsi="Times New Roman" w:cs="Times New Roman"/>
          <w:sz w:val="24"/>
        </w:rPr>
        <w:t>CIS2019</w:t>
      </w:r>
      <w:r>
        <w:rPr>
          <w:rFonts w:ascii="Times New Roman" w:eastAsia="黑体" w:hAnsi="Times New Roman" w:cs="Times New Roman"/>
          <w:sz w:val="24"/>
        </w:rPr>
        <w:t>网络安全创新大会</w:t>
      </w:r>
      <w:r>
        <w:rPr>
          <w:rFonts w:ascii="Times New Roman" w:eastAsia="黑体" w:hAnsi="Times New Roman" w:cs="Times New Roman" w:hint="eastAsia"/>
          <w:sz w:val="24"/>
        </w:rPr>
        <w:t>中指出，“通信卫星的转发器的频率范围、本振频率较为固定，我们可以根据卫星的下行信号，轻而易举计算出卫星的上行信号，再使用抛物面天线、</w:t>
      </w:r>
      <w:r>
        <w:rPr>
          <w:rFonts w:ascii="Times New Roman" w:eastAsia="黑体" w:hAnsi="Times New Roman" w:cs="Times New Roman"/>
          <w:sz w:val="24"/>
        </w:rPr>
        <w:t>BUC</w:t>
      </w:r>
      <w:r>
        <w:rPr>
          <w:rFonts w:ascii="Times New Roman" w:eastAsia="黑体" w:hAnsi="Times New Roman" w:cs="Times New Roman"/>
          <w:sz w:val="24"/>
        </w:rPr>
        <w:t>、</w:t>
      </w:r>
      <w:r>
        <w:rPr>
          <w:rFonts w:ascii="Times New Roman" w:eastAsia="黑体" w:hAnsi="Times New Roman" w:cs="Times New Roman"/>
          <w:sz w:val="24"/>
        </w:rPr>
        <w:t>LNB</w:t>
      </w:r>
      <w:r>
        <w:rPr>
          <w:rFonts w:ascii="Times New Roman" w:eastAsia="黑体" w:hAnsi="Times New Roman" w:cs="Times New Roman"/>
          <w:sz w:val="24"/>
        </w:rPr>
        <w:t>等卫星通信设备，完成对信号的伪造攻击，同时还可以实施信号干扰等攻击</w:t>
      </w:r>
      <w:r>
        <w:rPr>
          <w:rFonts w:ascii="Times New Roman" w:eastAsia="黑体" w:hAnsi="Times New Roman" w:cs="Times New Roman"/>
          <w:sz w:val="24"/>
        </w:rPr>
        <w:t>”</w:t>
      </w:r>
      <w:r>
        <w:rPr>
          <w:rFonts w:ascii="Times New Roman" w:eastAsia="黑体" w:hAnsi="Times New Roman" w:cs="Times New Roman"/>
          <w:sz w:val="24"/>
        </w:rPr>
        <w:t>。</w:t>
      </w:r>
      <w:r>
        <w:rPr>
          <w:rFonts w:ascii="Times New Roman" w:eastAsia="黑体" w:hAnsi="Times New Roman" w:cs="Times New Roman" w:hint="eastAsia"/>
          <w:sz w:val="24"/>
        </w:rPr>
        <w:t>在华为终端与北斗卫星进行通信的过程中，通信链路若受到外部敌对势力的恶意的大规模电磁干扰或电磁噪声，卫星通信过程也会受到不小的影响。</w:t>
      </w:r>
    </w:p>
    <w:p w14:paraId="27CE26C3"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实现卫星通信的关键使其具有的短报文功能。华为用的便是北斗的短报文功能，除了一些定制的求救信息外，还可以在手机上编辑文字发送出去，这样就能将自己的具体情况告诉救援者。但目前由于技术限制问题，华为与北斗卫星无法实现双向通信，即只能发信息，不能收到他人信息后进行回复，这样一来往往也导致求救信息的缺失。当被救者没有回应的时候，救援方无法有效知晓你的进一步反馈与动向，往往会造成救援过程中的各种误判。因此，在实际应用于紧急救援的情况下，华为与北斗卫星的通信功能也仍需要进一步完善，以避免救援过程中的一系列安全问题。</w:t>
      </w:r>
    </w:p>
    <w:p w14:paraId="2AB1DF1B"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监管安全方面，由于北斗卫星的通信可以不采用受监管的传统地面基站，直接与手机终端等进行连接，对于监管提出了全新的挑战。相关国家安全监管部门需要与华为进行充分沟通，指定新的手机卫星通信安全监管方案，保证社会层面的卫星通信管理。</w:t>
      </w:r>
    </w:p>
    <w:p w14:paraId="04C8E79A" w14:textId="77777777" w:rsidR="008A491C" w:rsidRDefault="00000000">
      <w:pPr>
        <w:pStyle w:val="2"/>
      </w:pPr>
      <w:r>
        <w:rPr>
          <w:rFonts w:ascii="Times New Roman" w:eastAsia="黑体" w:hAnsi="Times New Roman" w:cs="Times New Roman"/>
        </w:rPr>
        <w:lastRenderedPageBreak/>
        <w:t xml:space="preserve">3.2 </w:t>
      </w:r>
      <w:r>
        <w:rPr>
          <w:rFonts w:ascii="Times New Roman" w:eastAsia="黑体" w:hAnsi="Times New Roman" w:cs="Times New Roman" w:hint="eastAsia"/>
        </w:rPr>
        <w:t>隐私隐患</w:t>
      </w:r>
    </w:p>
    <w:p w14:paraId="2A69BBCA"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首先在手机终端层面。目前华为使用自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实现手机与北斗卫星的通信，若手机遭受非法入侵，外部势力便可以通过木马、病毒等暴力方式破解手机用户使用</w:t>
      </w:r>
      <w:r>
        <w:rPr>
          <w:rFonts w:ascii="Times New Roman" w:eastAsia="黑体" w:hAnsi="Times New Roman" w:cs="Times New Roman" w:hint="eastAsia"/>
          <w:sz w:val="24"/>
        </w:rPr>
        <w:t>APP</w:t>
      </w:r>
      <w:r>
        <w:rPr>
          <w:rFonts w:ascii="Times New Roman" w:eastAsia="黑体" w:hAnsi="Times New Roman" w:cs="Times New Roman" w:hint="eastAsia"/>
          <w:sz w:val="24"/>
        </w:rPr>
        <w:t>的详细操作，获取发送的各类消息。同时，若华为将该功能普及到海外市场的移动终端中，如何避免外部势力通过使用该功能后进而研究分析也是需要经过深思熟虑的。</w:t>
      </w:r>
    </w:p>
    <w:p w14:paraId="3555FABE" w14:textId="77777777" w:rsidR="008A491C"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在信息传播过程中，信息内容也可能会被窃听和记录。由于卫星通信覆盖范围广，通信数据暴露在更大的范围中，更容易遭到数据窃取。在</w:t>
      </w:r>
      <w:r>
        <w:rPr>
          <w:rFonts w:ascii="Times New Roman" w:eastAsia="黑体" w:hAnsi="Times New Roman" w:cs="Times New Roman"/>
          <w:sz w:val="24"/>
        </w:rPr>
        <w:t>IEEE Transactions on Vehicular Technology</w:t>
      </w:r>
      <w:r>
        <w:rPr>
          <w:rFonts w:ascii="Times New Roman" w:eastAsia="黑体" w:hAnsi="Times New Roman" w:cs="Times New Roman" w:hint="eastAsia"/>
          <w:sz w:val="24"/>
        </w:rPr>
        <w:t>卫星通信相关顶级会议中，不少研究者对于卫星通信的窃听工具与窃听技术进行了深入研究与分析。若暴露通信链路电磁频率或信息编码方式，借助相关电磁探测装置便可以捕获通信信息并进行破译分析。在目前的国际大形势下，美国在我国周边国家部署了大量的无线电监测设备，对于普通民众与北斗卫星通信来说，尽管北斗卫星在短报文传输层面有着国家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的先进信息编码隐藏技术，但仍有一定的拦截破译风险，这是需要警惕与防范的。</w:t>
      </w:r>
    </w:p>
    <w:sectPr w:rsidR="008A491C">
      <w:footerReference w:type="default" r:id="rId1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EC8EE" w14:textId="77777777" w:rsidR="00336131" w:rsidRDefault="00336131">
      <w:r>
        <w:separator/>
      </w:r>
    </w:p>
  </w:endnote>
  <w:endnote w:type="continuationSeparator" w:id="0">
    <w:p w14:paraId="6FB2E791" w14:textId="77777777" w:rsidR="00336131" w:rsidRDefault="0033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43953836"/>
      <w:docPartObj>
        <w:docPartGallery w:val="AutoText"/>
      </w:docPartObj>
    </w:sdtPr>
    <w:sdtContent>
      <w:p w14:paraId="4D02FA25" w14:textId="77777777" w:rsidR="008A491C"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3C220" w14:textId="77777777" w:rsidR="00336131" w:rsidRDefault="00336131">
      <w:r>
        <w:separator/>
      </w:r>
    </w:p>
  </w:footnote>
  <w:footnote w:type="continuationSeparator" w:id="0">
    <w:p w14:paraId="115271C7" w14:textId="77777777" w:rsidR="00336131" w:rsidRDefault="0033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51167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EFBFF9D4"/>
    <w:rsid w:val="00016BEC"/>
    <w:rsid w:val="00017C24"/>
    <w:rsid w:val="00031776"/>
    <w:rsid w:val="0007314E"/>
    <w:rsid w:val="0009500D"/>
    <w:rsid w:val="000A4056"/>
    <w:rsid w:val="000B763D"/>
    <w:rsid w:val="000F69DE"/>
    <w:rsid w:val="00135C1F"/>
    <w:rsid w:val="001576EE"/>
    <w:rsid w:val="00187F73"/>
    <w:rsid w:val="001A27EF"/>
    <w:rsid w:val="002037BD"/>
    <w:rsid w:val="002144E9"/>
    <w:rsid w:val="00216024"/>
    <w:rsid w:val="002209B4"/>
    <w:rsid w:val="00220E60"/>
    <w:rsid w:val="002253C0"/>
    <w:rsid w:val="0023313B"/>
    <w:rsid w:val="00236283"/>
    <w:rsid w:val="00250344"/>
    <w:rsid w:val="00265E77"/>
    <w:rsid w:val="00281218"/>
    <w:rsid w:val="002917EF"/>
    <w:rsid w:val="002967CB"/>
    <w:rsid w:val="002B03E2"/>
    <w:rsid w:val="002B72B8"/>
    <w:rsid w:val="002C3B78"/>
    <w:rsid w:val="002C3F83"/>
    <w:rsid w:val="002C6738"/>
    <w:rsid w:val="002D7D00"/>
    <w:rsid w:val="0030345B"/>
    <w:rsid w:val="00310FAA"/>
    <w:rsid w:val="003172C3"/>
    <w:rsid w:val="00336131"/>
    <w:rsid w:val="0034704C"/>
    <w:rsid w:val="003541F0"/>
    <w:rsid w:val="00366013"/>
    <w:rsid w:val="0039330B"/>
    <w:rsid w:val="003A2A86"/>
    <w:rsid w:val="003A759B"/>
    <w:rsid w:val="003B3199"/>
    <w:rsid w:val="003E1340"/>
    <w:rsid w:val="003E5129"/>
    <w:rsid w:val="003E5D4D"/>
    <w:rsid w:val="003F1211"/>
    <w:rsid w:val="0046173B"/>
    <w:rsid w:val="00496690"/>
    <w:rsid w:val="004A6E30"/>
    <w:rsid w:val="004B4FE1"/>
    <w:rsid w:val="004B5CDC"/>
    <w:rsid w:val="004C143B"/>
    <w:rsid w:val="0050136D"/>
    <w:rsid w:val="00506A35"/>
    <w:rsid w:val="00525CE6"/>
    <w:rsid w:val="00530D99"/>
    <w:rsid w:val="005379AA"/>
    <w:rsid w:val="005856E3"/>
    <w:rsid w:val="005B0C68"/>
    <w:rsid w:val="005C461C"/>
    <w:rsid w:val="005C692A"/>
    <w:rsid w:val="005D1CBC"/>
    <w:rsid w:val="005E0917"/>
    <w:rsid w:val="005E3842"/>
    <w:rsid w:val="006103B7"/>
    <w:rsid w:val="00632C55"/>
    <w:rsid w:val="00634ED9"/>
    <w:rsid w:val="006427B0"/>
    <w:rsid w:val="00643B72"/>
    <w:rsid w:val="0065546C"/>
    <w:rsid w:val="006612F7"/>
    <w:rsid w:val="00687A7A"/>
    <w:rsid w:val="006B1F91"/>
    <w:rsid w:val="006B3E92"/>
    <w:rsid w:val="006C700C"/>
    <w:rsid w:val="006E1D10"/>
    <w:rsid w:val="006E6E1E"/>
    <w:rsid w:val="006F3191"/>
    <w:rsid w:val="006F472E"/>
    <w:rsid w:val="007064E3"/>
    <w:rsid w:val="007101C7"/>
    <w:rsid w:val="0071695D"/>
    <w:rsid w:val="0072008D"/>
    <w:rsid w:val="0072794E"/>
    <w:rsid w:val="00743CE9"/>
    <w:rsid w:val="00757212"/>
    <w:rsid w:val="00757BAD"/>
    <w:rsid w:val="0076045E"/>
    <w:rsid w:val="00774AF0"/>
    <w:rsid w:val="00785C9A"/>
    <w:rsid w:val="00786F9E"/>
    <w:rsid w:val="00797CBA"/>
    <w:rsid w:val="007A2B46"/>
    <w:rsid w:val="007C696E"/>
    <w:rsid w:val="007F2C4D"/>
    <w:rsid w:val="00816794"/>
    <w:rsid w:val="00817504"/>
    <w:rsid w:val="00834D22"/>
    <w:rsid w:val="0084778F"/>
    <w:rsid w:val="00860FA2"/>
    <w:rsid w:val="00863349"/>
    <w:rsid w:val="008A24A3"/>
    <w:rsid w:val="008A491C"/>
    <w:rsid w:val="008A5195"/>
    <w:rsid w:val="008D724A"/>
    <w:rsid w:val="008F227C"/>
    <w:rsid w:val="008F3C6A"/>
    <w:rsid w:val="00906280"/>
    <w:rsid w:val="00920936"/>
    <w:rsid w:val="0094555A"/>
    <w:rsid w:val="009549F5"/>
    <w:rsid w:val="00970730"/>
    <w:rsid w:val="00975F08"/>
    <w:rsid w:val="00981064"/>
    <w:rsid w:val="00981ED4"/>
    <w:rsid w:val="00984CB8"/>
    <w:rsid w:val="009B0513"/>
    <w:rsid w:val="009D3F65"/>
    <w:rsid w:val="009D7F76"/>
    <w:rsid w:val="009F267D"/>
    <w:rsid w:val="00A127A9"/>
    <w:rsid w:val="00A15213"/>
    <w:rsid w:val="00A33B0B"/>
    <w:rsid w:val="00A40E3B"/>
    <w:rsid w:val="00A422C4"/>
    <w:rsid w:val="00A42671"/>
    <w:rsid w:val="00A71C67"/>
    <w:rsid w:val="00A80393"/>
    <w:rsid w:val="00A95C13"/>
    <w:rsid w:val="00AA2CD1"/>
    <w:rsid w:val="00AA56E2"/>
    <w:rsid w:val="00AC516C"/>
    <w:rsid w:val="00AD4452"/>
    <w:rsid w:val="00B116CE"/>
    <w:rsid w:val="00B2627E"/>
    <w:rsid w:val="00B31515"/>
    <w:rsid w:val="00B4464F"/>
    <w:rsid w:val="00B616E7"/>
    <w:rsid w:val="00B70AE3"/>
    <w:rsid w:val="00B725A1"/>
    <w:rsid w:val="00B80534"/>
    <w:rsid w:val="00BA1541"/>
    <w:rsid w:val="00BA3467"/>
    <w:rsid w:val="00BB055A"/>
    <w:rsid w:val="00BD55BA"/>
    <w:rsid w:val="00BD7032"/>
    <w:rsid w:val="00BD7A41"/>
    <w:rsid w:val="00BE5524"/>
    <w:rsid w:val="00C01339"/>
    <w:rsid w:val="00C20A47"/>
    <w:rsid w:val="00C42D7E"/>
    <w:rsid w:val="00C541C6"/>
    <w:rsid w:val="00C5481D"/>
    <w:rsid w:val="00C54F88"/>
    <w:rsid w:val="00C62028"/>
    <w:rsid w:val="00C67E54"/>
    <w:rsid w:val="00C73B07"/>
    <w:rsid w:val="00C73D47"/>
    <w:rsid w:val="00C9676B"/>
    <w:rsid w:val="00CB0AB3"/>
    <w:rsid w:val="00CB2449"/>
    <w:rsid w:val="00CD6CD5"/>
    <w:rsid w:val="00CE36F0"/>
    <w:rsid w:val="00CF135C"/>
    <w:rsid w:val="00D467A9"/>
    <w:rsid w:val="00D6475E"/>
    <w:rsid w:val="00D83C3A"/>
    <w:rsid w:val="00D8557D"/>
    <w:rsid w:val="00DB205E"/>
    <w:rsid w:val="00DB76E0"/>
    <w:rsid w:val="00DD44C4"/>
    <w:rsid w:val="00DE42F0"/>
    <w:rsid w:val="00E1501C"/>
    <w:rsid w:val="00E34A10"/>
    <w:rsid w:val="00E72301"/>
    <w:rsid w:val="00E77828"/>
    <w:rsid w:val="00E80F75"/>
    <w:rsid w:val="00E86E25"/>
    <w:rsid w:val="00EA4FBA"/>
    <w:rsid w:val="00EE5E16"/>
    <w:rsid w:val="00EF5C8B"/>
    <w:rsid w:val="00F17C08"/>
    <w:rsid w:val="00F4491C"/>
    <w:rsid w:val="00F638AC"/>
    <w:rsid w:val="00F8403E"/>
    <w:rsid w:val="00FA5E0D"/>
    <w:rsid w:val="00FC7AC4"/>
    <w:rsid w:val="00FD7451"/>
    <w:rsid w:val="00FE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7FAFF"/>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2603</Words>
  <Characters>2748</Characters>
  <Application>Microsoft Office Word</Application>
  <DocSecurity>0</DocSecurity>
  <Lines>135</Lines>
  <Paragraphs>57</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Tochus Nickname</cp:lastModifiedBy>
  <cp:revision>121</cp:revision>
  <cp:lastPrinted>2021-09-07T08:39:00Z</cp:lastPrinted>
  <dcterms:created xsi:type="dcterms:W3CDTF">2020-07-17T10:54:00Z</dcterms:created>
  <dcterms:modified xsi:type="dcterms:W3CDTF">2024-05-25T09:03:00Z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0E5A87C7381945F0A24EBD6395281D6F</vt:lpwstr>
  </property>
</Properties>
</file>