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2024年6月1日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案例所属章节：第3章 信息安全与隐私</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三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pStyle w:val="2"/>
        <w:snapToGrid w:val="0"/>
        <w:spacing w:before="0" w:after="0" w:line="300" w:lineRule="auto"/>
        <w:ind w:firstLine="723"/>
        <w:rPr>
          <w:rFonts w:ascii="Times New Roman" w:hAnsi="Times New Roman" w:eastAsia="黑体" w:cs="Times New Roman"/>
          <w:sz w:val="36"/>
        </w:rPr>
      </w:pPr>
    </w:p>
    <w:p>
      <w:pPr>
        <w:widowControl/>
        <w:jc w:val="left"/>
        <w:rPr>
          <w:rFonts w:ascii="Times New Roman" w:hAnsi="Times New Roman" w:eastAsia="黑体" w:cs="Times New Roman"/>
          <w:b/>
          <w:bCs/>
          <w:kern w:val="44"/>
          <w:sz w:val="36"/>
          <w:szCs w:val="44"/>
        </w:rPr>
      </w:pPr>
      <w:r>
        <w:rPr>
          <w:rFonts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知识产权，是“基于创造成果和工商标记依法产生的权利的统称”。最主要的三种知识产权是著作权、专利权和商标权</w:t>
      </w:r>
      <w:r>
        <w:rPr>
          <w:rFonts w:hint="eastAsia" w:ascii="Times New Roman" w:hAnsi="Times New Roman" w:eastAsia="黑体" w:cs="Times New Roman"/>
          <w:sz w:val="24"/>
          <w:lang w:eastAsia="zh-CN"/>
        </w:rPr>
        <w:t>，其中专利权与商标权也被统称为工业产权；</w:t>
      </w:r>
      <w:r>
        <w:rPr>
          <w:rFonts w:hint="eastAsia" w:ascii="Times New Roman" w:hAnsi="Times New Roman" w:eastAsia="黑体" w:cs="Times New Roman"/>
          <w:sz w:val="24"/>
          <w:lang w:val="en-US" w:eastAsia="zh-CN"/>
        </w:rPr>
        <w:t>而</w:t>
      </w:r>
      <w:r>
        <w:rPr>
          <w:rFonts w:hint="eastAsia" w:ascii="Times New Roman" w:hAnsi="Times New Roman" w:eastAsia="黑体" w:cs="Times New Roman"/>
          <w:sz w:val="24"/>
          <w:lang w:eastAsia="zh-CN"/>
        </w:rPr>
        <w:t>三维计算机图形软件的设计与开发是一个复杂的过程，</w:t>
      </w:r>
      <w:r>
        <w:rPr>
          <w:rFonts w:hint="eastAsia" w:ascii="Times New Roman" w:hAnsi="Times New Roman" w:eastAsia="黑体" w:cs="Times New Roman"/>
          <w:sz w:val="24"/>
          <w:lang w:val="en-US" w:eastAsia="zh-CN"/>
        </w:rPr>
        <w:t>会</w:t>
      </w:r>
      <w:r>
        <w:rPr>
          <w:rFonts w:hint="eastAsia" w:ascii="Times New Roman" w:hAnsi="Times New Roman" w:eastAsia="黑体" w:cs="Times New Roman"/>
          <w:sz w:val="24"/>
          <w:lang w:eastAsia="zh-CN"/>
        </w:rPr>
        <w:t>涉及</w:t>
      </w:r>
      <w:r>
        <w:rPr>
          <w:rFonts w:hint="eastAsia" w:ascii="Times New Roman" w:hAnsi="Times New Roman" w:eastAsia="黑体" w:cs="Times New Roman"/>
          <w:sz w:val="24"/>
          <w:lang w:val="en-US" w:eastAsia="zh-CN"/>
        </w:rPr>
        <w:t>到</w:t>
      </w:r>
      <w:r>
        <w:rPr>
          <w:rFonts w:hint="eastAsia" w:ascii="Times New Roman" w:hAnsi="Times New Roman" w:eastAsia="黑体" w:cs="Times New Roman"/>
          <w:sz w:val="24"/>
          <w:lang w:eastAsia="zh-CN"/>
        </w:rPr>
        <w:t>多个方面的</w:t>
      </w:r>
      <w:r>
        <w:rPr>
          <w:rFonts w:hint="eastAsia" w:ascii="Times New Roman" w:hAnsi="Times New Roman" w:eastAsia="黑体" w:cs="Times New Roman"/>
          <w:sz w:val="24"/>
          <w:lang w:val="en-US" w:eastAsia="zh-CN"/>
        </w:rPr>
        <w:t>知识产权法律问题；因此，</w:t>
      </w:r>
      <w:r>
        <w:rPr>
          <w:rFonts w:hint="eastAsia" w:ascii="Times New Roman" w:hAnsi="Times New Roman" w:eastAsia="黑体" w:cs="Times New Roman"/>
          <w:sz w:val="24"/>
        </w:rPr>
        <w:t>下面将</w:t>
      </w:r>
      <w:r>
        <w:rPr>
          <w:rFonts w:hint="eastAsia" w:ascii="Times New Roman" w:hAnsi="Times New Roman" w:eastAsia="黑体" w:cs="Times New Roman"/>
          <w:sz w:val="24"/>
          <w:lang w:val="en-US" w:eastAsia="zh-CN"/>
        </w:rPr>
        <w:t>深入</w:t>
      </w:r>
      <w:r>
        <w:rPr>
          <w:rFonts w:hint="eastAsia" w:ascii="Times New Roman" w:hAnsi="Times New Roman" w:eastAsia="黑体" w:cs="Times New Roman"/>
          <w:sz w:val="24"/>
        </w:rPr>
        <w:t>分析</w:t>
      </w:r>
      <w:r>
        <w:rPr>
          <w:rFonts w:hint="eastAsia" w:ascii="Times New Roman" w:hAnsi="Times New Roman" w:eastAsia="黑体" w:cs="Times New Roman"/>
          <w:sz w:val="24"/>
          <w:lang w:val="en-US" w:eastAsia="zh-CN"/>
        </w:rPr>
        <w:t>三维计算机图形软件的设计与开发</w:t>
      </w:r>
      <w:r>
        <w:rPr>
          <w:rFonts w:hint="eastAsia" w:ascii="Times New Roman" w:hAnsi="Times New Roman" w:eastAsia="黑体" w:cs="Times New Roman"/>
          <w:sz w:val="24"/>
        </w:rPr>
        <w:t>可能产生的</w:t>
      </w:r>
      <w:r>
        <w:rPr>
          <w:rFonts w:hint="eastAsia" w:ascii="Times New Roman" w:hAnsi="Times New Roman" w:eastAsia="黑体" w:cs="Times New Roman"/>
          <w:sz w:val="24"/>
          <w:lang w:val="en-US" w:eastAsia="zh-CN"/>
        </w:rPr>
        <w:t>有关知识产权的</w:t>
      </w:r>
      <w:r>
        <w:rPr>
          <w:rFonts w:hint="eastAsia" w:ascii="Times New Roman" w:hAnsi="Times New Roman" w:eastAsia="黑体" w:cs="Times New Roman"/>
          <w:sz w:val="24"/>
        </w:rPr>
        <w:t>法律问题。</w:t>
      </w:r>
    </w:p>
    <w:p>
      <w:pPr>
        <w:pStyle w:val="3"/>
      </w:pPr>
      <w:r>
        <w:rPr>
          <w:rFonts w:ascii="Times New Roman" w:hAnsi="Times New Roman" w:eastAsia="黑体" w:cs="Times New Roman"/>
        </w:rPr>
        <w:t xml:space="preserve">3.1 </w:t>
      </w:r>
      <w:r>
        <w:rPr>
          <w:rFonts w:hint="eastAsia" w:ascii="Times New Roman" w:hAnsi="Times New Roman" w:eastAsia="黑体" w:cs="Times New Roman"/>
        </w:rPr>
        <w:t>专利权</w:t>
      </w:r>
    </w:p>
    <w:p>
      <w:pPr>
        <w:spacing w:line="30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专利权，是指国家根据发明人或设计人的申请，以向社会公开发明创造的内容，以及发明创造对社会具有符合法律规定的利益为前提，根据法定程序在一定期限内授予发明人或设计人的一种排他性权利。</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在三维计算机图形软件的设计与开发中，专利权是一种重要的知识产权形式，它可以为软件开发者提供长期的市场独占权</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因此涉及到三维计算机图形软件设计开发的众多公司都在积极申请各项专利，建立专属的知识产权库。</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以全球最大的二维和三维设计、工程与娱乐软件公司Autodesk为例，其设计开发了包括Maya、AutoCAD、3DS MAX在内的众多三维软件，在全球共拥有1740余项专利（数据来源：insights.greyb.com），可以说Autodesk在三</w:t>
      </w:r>
      <w:r>
        <w:rPr>
          <w:rFonts w:hint="eastAsia" w:ascii="Times New Roman" w:hAnsi="Times New Roman" w:eastAsia="黑体" w:cs="Times New Roman"/>
          <w:sz w:val="24"/>
        </w:rPr>
        <w:t>维计算机图形软件的设计与开发</w:t>
      </w:r>
      <w:r>
        <w:rPr>
          <w:rFonts w:hint="eastAsia" w:ascii="Times New Roman" w:hAnsi="Times New Roman" w:eastAsia="黑体" w:cs="Times New Roman"/>
          <w:sz w:val="24"/>
          <w:lang w:val="en-US" w:eastAsia="zh-CN"/>
        </w:rPr>
        <w:t>领域中拥有着强大的技术创新和知识产权保护能力，也为同类三维计算机图形软件的设计与开发施加了种种限制。</w:t>
      </w:r>
    </w:p>
    <w:p>
      <w:pPr>
        <w:spacing w:line="300" w:lineRule="auto"/>
        <w:ind w:firstLine="420"/>
        <w:jc w:val="center"/>
      </w:pPr>
      <w:r>
        <w:drawing>
          <wp:inline distT="0" distB="0" distL="114300" distR="114300">
            <wp:extent cx="4477385" cy="2501900"/>
            <wp:effectExtent l="0" t="0" r="571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477385" cy="2501900"/>
                    </a:xfrm>
                    <a:prstGeom prst="rect">
                      <a:avLst/>
                    </a:prstGeom>
                    <a:noFill/>
                    <a:ln>
                      <a:noFill/>
                    </a:ln>
                  </pic:spPr>
                </pic:pic>
              </a:graphicData>
            </a:graphic>
          </wp:inline>
        </w:drawing>
      </w:r>
    </w:p>
    <w:p>
      <w:pPr>
        <w:pStyle w:val="4"/>
        <w:spacing w:line="300" w:lineRule="auto"/>
        <w:ind w:firstLine="420"/>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Autodesk拥有的12001615号专利（图片来源：JUSTIA Patents）</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也正因如此，当设计开发三维计算机图形软件时，即使没有主观上的侵权与抄袭行为，也有着可能会陷入知识产权纠纷中。以中望公司开发的国产软件中望CAD+为例，2014年2月21日，中望公司收到庭审通知，称欧特克公司在荷兰海牙法庭对中望及中望荷兰、比利时代理提起诉讼，认为中望CAD+2012、2014两个版本涉嫌抄袭AUTO CAD2008部分源代码，并以此提出了“禁售中望CAD+、道歉、产品召回、赔偿”等系列诉求。</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荷兰海牙法庭也于4月7日对美国欧特克（AUTODESK）公司起诉我国国产软件中望CAD+抄袭其公司产品AUTO CAD2008一案作出一审判决：中望CAD+对AUTO CAD2008不构成侵权。此外，3月26日，在荷兰法庭尚未宣布判决结果的情况下，欧特克公司在美国加利福尼亚北部地区法院再次以同样理由对广州中望数字化设计软件有限责任公司提起诉讼。</w:t>
      </w:r>
    </w:p>
    <w:p>
      <w:pPr>
        <w:spacing w:line="300" w:lineRule="auto"/>
        <w:ind w:firstLine="420"/>
        <w:jc w:val="center"/>
      </w:pPr>
      <w:bookmarkStart w:id="2" w:name="_GoBack"/>
      <w:r>
        <w:drawing>
          <wp:inline distT="0" distB="0" distL="114300" distR="114300">
            <wp:extent cx="5868035" cy="2818765"/>
            <wp:effectExtent l="0" t="0" r="1206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868035" cy="2818765"/>
                    </a:xfrm>
                    <a:prstGeom prst="rect">
                      <a:avLst/>
                    </a:prstGeom>
                    <a:noFill/>
                    <a:ln>
                      <a:noFill/>
                    </a:ln>
                  </pic:spPr>
                </pic:pic>
              </a:graphicData>
            </a:graphic>
          </wp:inline>
        </w:drawing>
      </w:r>
    </w:p>
    <w:p>
      <w:pPr>
        <w:pStyle w:val="4"/>
        <w:spacing w:line="300" w:lineRule="auto"/>
        <w:ind w:firstLine="420"/>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国产软件企业中望首战打赢跨国版权官司（图片来源：ncac.gov.cn）</w:t>
      </w:r>
    </w:p>
    <w:bookmarkEnd w:id="2"/>
    <w:p>
      <w:pPr>
        <w:spacing w:line="300" w:lineRule="auto"/>
        <w:ind w:firstLine="42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中美之间的科技战，其中的表现形式之一就是针对重要领域的核心技术进行专利布局，形成专利壁垒，限制中国企业的技术发展和市场扩张，这要求国产企业在设计开发三维计算机图形软件时，需密切关注专利法律风险，采取积极的知识产权管理策略，降低侵权风险，同时也需要具备足够技术创新和市场竞争力，以与国外三维计算机图形软件进行抗衡。</w:t>
      </w:r>
    </w:p>
    <w:p>
      <w:pPr>
        <w:spacing w:line="300" w:lineRule="auto"/>
        <w:ind w:firstLine="420"/>
        <w:rPr>
          <w:rFonts w:hint="eastAsia" w:ascii="Times New Roman" w:hAnsi="Times New Roman" w:eastAsia="黑体" w:cs="Times New Roman"/>
          <w:sz w:val="24"/>
          <w:lang w:val="en-US" w:eastAsia="zh-CN"/>
        </w:rPr>
      </w:pPr>
    </w:p>
    <w:p>
      <w:pPr>
        <w:spacing w:line="300" w:lineRule="auto"/>
        <w:ind w:left="420" w:leftChars="0" w:firstLine="420"/>
        <w:rPr>
          <w:rFonts w:hint="default" w:ascii="Times New Roman" w:hAnsi="Times New Roman" w:eastAsia="黑体" w:cs="Times New Roman"/>
          <w:sz w:val="24"/>
          <w:lang w:val="en-US" w:eastAsia="zh-CN"/>
        </w:rPr>
      </w:pPr>
    </w:p>
    <w:p>
      <w:pPr>
        <w:pStyle w:val="3"/>
      </w:pPr>
      <w:r>
        <w:rPr>
          <w:rFonts w:ascii="Times New Roman" w:hAnsi="Times New Roman" w:eastAsia="黑体" w:cs="Times New Roman"/>
        </w:rPr>
        <w:t xml:space="preserve">3.2 </w:t>
      </w:r>
      <w:r>
        <w:rPr>
          <w:rFonts w:hint="eastAsia" w:ascii="Times New Roman" w:hAnsi="Times New Roman" w:eastAsia="黑体" w:cs="Times New Roman"/>
        </w:rPr>
        <w:t>软件著作权</w:t>
      </w:r>
    </w:p>
    <w:p>
      <w:pPr>
        <w:spacing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科技活动应最大限度避免对人的生命安全、身体健康、精神和心理健康造成伤害或潜在威胁，尊重人格尊严和个人隐私，保障科技活动参与者的知情权和选择权。</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在工业上的大范围应用要求了其必须确保软件的安全性，用其创造的产品设计应符合行业相关标准及规格，避免因为软件缺陷，产生错误的生产设计，造成生产效率下降甚至严重的安全事故等。</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另一方面，三维计算机图形软件在收集和使用用户数据的时候，应充分尊重生命权利，避免侵犯他人的肖像权、隐私权等；并在软件应用过程中，应充分保护用户的个人信息安全，防止数据泄露和滥用。</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三维计算机图形软件本质上在计算机中的虚拟环境中对现实世界进行拟真与抽象，与现实世界具有相似性和重合性；相似性大小既决定了三维计算机图形软件的拟真程度，但也在其中暗藏了泄露隐私信息的风险。如何在提高相似性的同时，降低隐私泄露的可能性，需要开发人员和使用用户的共同努力和规范意识的建立。因此三维计算机图形软件在设计开发时，应注意提供详尽的使用协议和相关引导，确保用户安全使用三维计算机图形软件进行创作，保护人类的生命权利。</w:t>
      </w:r>
    </w:p>
    <w:p>
      <w:pPr>
        <w:keepNext/>
        <w:spacing w:before="240" w:line="300" w:lineRule="auto"/>
        <w:ind w:firstLine="210" w:firstLineChars="100"/>
        <w:jc w:val="center"/>
      </w:pPr>
      <w:r>
        <w:drawing>
          <wp:inline distT="0" distB="0" distL="0" distR="0">
            <wp:extent cx="3783965" cy="2499360"/>
            <wp:effectExtent l="0" t="0" r="6985" b="0"/>
            <wp:docPr id="1167786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86666" name="图片 1"/>
                    <pic:cNvPicPr>
                      <a:picLocks noChangeAspect="1"/>
                    </pic:cNvPicPr>
                  </pic:nvPicPr>
                  <pic:blipFill>
                    <a:blip r:embed="rId13"/>
                    <a:stretch>
                      <a:fillRect/>
                    </a:stretch>
                  </pic:blipFill>
                  <pic:spPr>
                    <a:xfrm>
                      <a:off x="0" y="0"/>
                      <a:ext cx="3823475" cy="2525536"/>
                    </a:xfrm>
                    <a:prstGeom prst="rect">
                      <a:avLst/>
                    </a:prstGeom>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8</w:t>
      </w:r>
      <w:r>
        <w:fldChar w:fldCharType="end"/>
      </w:r>
      <w:r>
        <w:rPr>
          <w:rFonts w:hint="eastAsia"/>
        </w:rPr>
        <w:t xml:space="preserve"> Unity用户服务协议（图片来源：unity.com）</w:t>
      </w:r>
    </w:p>
    <w:p>
      <w:pPr>
        <w:spacing w:before="240" w:line="300" w:lineRule="auto"/>
        <w:ind w:firstLine="240" w:firstLineChars="100"/>
        <w:rPr>
          <w:rFonts w:ascii="Times New Roman" w:hAnsi="Times New Roman" w:eastAsia="黑体" w:cs="Times New Roman"/>
          <w:sz w:val="24"/>
        </w:rPr>
      </w:pPr>
      <w:r>
        <w:rPr>
          <w:rFonts w:hint="eastAsia" w:ascii="Times New Roman" w:hAnsi="Times New Roman" w:eastAsia="黑体" w:cs="Times New Roman"/>
          <w:sz w:val="24"/>
        </w:rPr>
        <w:t>此外，软件开发者还应关注软件对生态环境的影响，在三维计算机图形软件的设计开发过程中节省不必要的开支与花销，控制开发规模，避免因过度开发和使用导致资源浪费和生态破坏。</w:t>
      </w:r>
    </w:p>
    <w:p>
      <w:pPr>
        <w:pStyle w:val="3"/>
      </w:pPr>
      <w:r>
        <w:rPr>
          <w:rFonts w:ascii="Times New Roman" w:hAnsi="Times New Roman" w:eastAsia="黑体" w:cs="Times New Roman"/>
        </w:rPr>
        <w:t>3.3</w:t>
      </w:r>
      <w:r>
        <w:rPr>
          <w:rFonts w:hint="eastAsia" w:ascii="Times New Roman" w:hAnsi="Times New Roman" w:eastAsia="黑体" w:cs="Times New Roman"/>
        </w:rPr>
        <w:t>商标权</w:t>
      </w:r>
    </w:p>
    <w:p>
      <w:pPr>
        <w:spacing w:line="360" w:lineRule="auto"/>
        <w:rPr>
          <w:rFonts w:hint="eastAsia" w:ascii="Times New Roman" w:hAnsi="Times New Roman" w:eastAsia="黑体" w:cs="Times New Roman"/>
          <w:sz w:val="24"/>
        </w:rPr>
      </w:pPr>
      <w:r>
        <w:rPr>
          <w:rFonts w:hint="eastAsia" w:ascii="Times New Roman" w:hAnsi="Times New Roman" w:eastAsia="黑体" w:cs="Times New Roman"/>
          <w:sz w:val="24"/>
        </w:rPr>
        <w:t>件生态添砖加瓦。</w:t>
      </w:r>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 w:val="16C07574"/>
    <w:rsid w:val="272C3F3F"/>
    <w:rsid w:val="293D024E"/>
    <w:rsid w:val="6BCF1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uiPriority w:val="99"/>
    <w:pPr>
      <w:ind w:left="100" w:leftChars="2500"/>
    </w:p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5"/>
    <w:semiHidden/>
    <w:qFormat/>
    <w:uiPriority w:val="99"/>
  </w:style>
  <w:style w:type="character" w:customStyle="1" w:styleId="15">
    <w:name w:val="标题 1 字符"/>
    <w:basedOn w:val="11"/>
    <w:link w:val="2"/>
    <w:uiPriority w:val="9"/>
    <w:rPr>
      <w:b/>
      <w:bCs/>
      <w:kern w:val="44"/>
      <w:sz w:val="44"/>
      <w:szCs w:val="44"/>
    </w:rPr>
  </w:style>
  <w:style w:type="character" w:customStyle="1" w:styleId="16">
    <w:name w:val="标题 2 字符"/>
    <w:basedOn w:val="11"/>
    <w:link w:val="3"/>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uiPriority w:val="99"/>
    <w:rPr>
      <w:sz w:val="18"/>
      <w:szCs w:val="18"/>
    </w:rPr>
  </w:style>
  <w:style w:type="character" w:customStyle="1" w:styleId="19">
    <w:name w:val="页脚 字符"/>
    <w:basedOn w:val="11"/>
    <w:link w:val="6"/>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8</Pages>
  <Words>3698</Words>
  <Characters>4168</Characters>
  <Lines>160</Lines>
  <Paragraphs>150</Paragraphs>
  <TotalTime>44</TotalTime>
  <ScaleCrop>false</ScaleCrop>
  <LinksUpToDate>false</LinksUpToDate>
  <CharactersWithSpaces>4228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20532</cp:lastModifiedBy>
  <cp:lastPrinted>2024-06-01T01:56:00Z</cp:lastPrinted>
  <dcterms:modified xsi:type="dcterms:W3CDTF">2024-06-07T15:42:17Z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6C5F6C0ABE274CC48A1F1614CC6D587A_12</vt:lpwstr>
  </property>
</Properties>
</file>