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案例所属章节：第3章 信息安全与隐私</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知识产权，是“基于创造成果和工商标记依法产生的权利的统称”。最主要的三种知识产权是著作权、专利权和商标权</w:t>
      </w:r>
      <w:r>
        <w:rPr>
          <w:rFonts w:hint="eastAsia" w:ascii="Times New Roman" w:hAnsi="Times New Roman" w:eastAsia="黑体" w:cs="Times New Roman"/>
          <w:sz w:val="24"/>
          <w:lang w:eastAsia="zh-CN"/>
        </w:rPr>
        <w:t>，其中专利权与商标权也被统称为工业产权；</w:t>
      </w:r>
      <w:r>
        <w:rPr>
          <w:rFonts w:hint="eastAsia" w:ascii="Times New Roman" w:hAnsi="Times New Roman" w:eastAsia="黑体" w:cs="Times New Roman"/>
          <w:sz w:val="24"/>
          <w:lang w:val="en-US" w:eastAsia="zh-CN"/>
        </w:rPr>
        <w:t>而</w:t>
      </w:r>
      <w:r>
        <w:rPr>
          <w:rFonts w:hint="eastAsia" w:ascii="Times New Roman" w:hAnsi="Times New Roman" w:eastAsia="黑体" w:cs="Times New Roman"/>
          <w:sz w:val="24"/>
          <w:lang w:eastAsia="zh-CN"/>
        </w:rPr>
        <w:t>三维计算机图形软件的设计与开发是一个复杂的过程，</w:t>
      </w:r>
      <w:r>
        <w:rPr>
          <w:rFonts w:hint="eastAsia" w:ascii="Times New Roman" w:hAnsi="Times New Roman" w:eastAsia="黑体" w:cs="Times New Roman"/>
          <w:sz w:val="24"/>
          <w:lang w:val="en-US" w:eastAsia="zh-CN"/>
        </w:rPr>
        <w:t>会</w:t>
      </w:r>
      <w:r>
        <w:rPr>
          <w:rFonts w:hint="eastAsia" w:ascii="Times New Roman" w:hAnsi="Times New Roman" w:eastAsia="黑体" w:cs="Times New Roman"/>
          <w:sz w:val="24"/>
          <w:lang w:eastAsia="zh-CN"/>
        </w:rPr>
        <w:t>涉及</w:t>
      </w:r>
      <w:r>
        <w:rPr>
          <w:rFonts w:hint="eastAsia" w:ascii="Times New Roman" w:hAnsi="Times New Roman" w:eastAsia="黑体" w:cs="Times New Roman"/>
          <w:sz w:val="24"/>
          <w:lang w:val="en-US" w:eastAsia="zh-CN"/>
        </w:rPr>
        <w:t>到</w:t>
      </w:r>
      <w:r>
        <w:rPr>
          <w:rFonts w:hint="eastAsia" w:ascii="Times New Roman" w:hAnsi="Times New Roman" w:eastAsia="黑体" w:cs="Times New Roman"/>
          <w:sz w:val="24"/>
          <w:lang w:eastAsia="zh-CN"/>
        </w:rPr>
        <w:t>多个方面的</w:t>
      </w:r>
      <w:r>
        <w:rPr>
          <w:rFonts w:hint="eastAsia" w:ascii="Times New Roman" w:hAnsi="Times New Roman" w:eastAsia="黑体" w:cs="Times New Roman"/>
          <w:sz w:val="24"/>
          <w:lang w:val="en-US" w:eastAsia="zh-CN"/>
        </w:rPr>
        <w:t>知识产权法律问题；因此，</w:t>
      </w:r>
      <w:r>
        <w:rPr>
          <w:rFonts w:hint="eastAsia" w:ascii="Times New Roman" w:hAnsi="Times New Roman" w:eastAsia="黑体" w:cs="Times New Roman"/>
          <w:sz w:val="24"/>
        </w:rPr>
        <w:t>下面将</w:t>
      </w:r>
      <w:r>
        <w:rPr>
          <w:rFonts w:hint="eastAsia" w:ascii="Times New Roman" w:hAnsi="Times New Roman" w:eastAsia="黑体" w:cs="Times New Roman"/>
          <w:sz w:val="24"/>
          <w:lang w:val="en-US" w:eastAsia="zh-CN"/>
        </w:rPr>
        <w:t>深入</w:t>
      </w:r>
      <w:r>
        <w:rPr>
          <w:rFonts w:hint="eastAsia" w:ascii="Times New Roman" w:hAnsi="Times New Roman" w:eastAsia="黑体" w:cs="Times New Roman"/>
          <w:sz w:val="24"/>
        </w:rPr>
        <w:t>分析</w:t>
      </w:r>
      <w:r>
        <w:rPr>
          <w:rFonts w:hint="eastAsia" w:ascii="Times New Roman" w:hAnsi="Times New Roman" w:eastAsia="黑体" w:cs="Times New Roman"/>
          <w:sz w:val="24"/>
          <w:lang w:val="en-US" w:eastAsia="zh-CN"/>
        </w:rPr>
        <w:t>三维计算机图形软件的设计与开发</w:t>
      </w:r>
      <w:r>
        <w:rPr>
          <w:rFonts w:hint="eastAsia" w:ascii="Times New Roman" w:hAnsi="Times New Roman" w:eastAsia="黑体" w:cs="Times New Roman"/>
          <w:sz w:val="24"/>
        </w:rPr>
        <w:t>可能产生的</w:t>
      </w:r>
      <w:r>
        <w:rPr>
          <w:rFonts w:hint="eastAsia" w:ascii="Times New Roman" w:hAnsi="Times New Roman" w:eastAsia="黑体" w:cs="Times New Roman"/>
          <w:sz w:val="24"/>
          <w:lang w:val="en-US" w:eastAsia="zh-CN"/>
        </w:rPr>
        <w:t>有关知识产权的</w:t>
      </w:r>
      <w:r>
        <w:rPr>
          <w:rFonts w:hint="eastAsia" w:ascii="Times New Roman" w:hAnsi="Times New Roman" w:eastAsia="黑体" w:cs="Times New Roman"/>
          <w:sz w:val="24"/>
        </w:rPr>
        <w:t>法律问题。</w:t>
      </w:r>
    </w:p>
    <w:p>
      <w:pPr>
        <w:pStyle w:val="3"/>
      </w:pPr>
      <w:r>
        <w:rPr>
          <w:rFonts w:ascii="Times New Roman" w:hAnsi="Times New Roman" w:eastAsia="黑体" w:cs="Times New Roman"/>
        </w:rPr>
        <w:t xml:space="preserve">3.1 </w:t>
      </w:r>
      <w:r>
        <w:rPr>
          <w:rFonts w:hint="eastAsia" w:ascii="Times New Roman" w:hAnsi="Times New Roman" w:eastAsia="黑体" w:cs="Times New Roman"/>
        </w:rPr>
        <w:t>专利权</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专利权，是指国家根据发明人或设计人的申请，以向社会公开发明创造的内容，以及发明创造对社会具有符合法律规定的利益为前提，根据法定程序在一定期限内授予发明人或设计人的一种排他性权利。</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在三维计算机图形软件的设计与开发中，专利权是一种重要的知识产权形式，它可以为软件开发者提供长期的市场独占权</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因此涉及到三维计算机图形软件设计开发的众多公司都在积极申请各项专利，建立专属的知识产权库。</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以全球最大的二维和三维设计、工程与娱乐软件公司Autodesk为例，其设计开发了包括Maya、AutoCAD、3DS MAX在内的众多三维软件，在全球共拥有1740余项专利（数据来源：insights.greyb.com），可以说Autodesk在三</w:t>
      </w:r>
      <w:r>
        <w:rPr>
          <w:rFonts w:hint="eastAsia" w:ascii="Times New Roman" w:hAnsi="Times New Roman" w:eastAsia="黑体" w:cs="Times New Roman"/>
          <w:sz w:val="24"/>
        </w:rPr>
        <w:t>维计算机图形软件的设计与开发</w:t>
      </w:r>
      <w:r>
        <w:rPr>
          <w:rFonts w:hint="eastAsia" w:ascii="Times New Roman" w:hAnsi="Times New Roman" w:eastAsia="黑体" w:cs="Times New Roman"/>
          <w:sz w:val="24"/>
          <w:lang w:val="en-US" w:eastAsia="zh-CN"/>
        </w:rPr>
        <w:t>领域中拥有着强大的技术创新和知识产权保护能力，也为同类三维计算机图形软件的设计与开发施加了种种限制。</w:t>
      </w:r>
    </w:p>
    <w:p>
      <w:pPr>
        <w:spacing w:line="300" w:lineRule="auto"/>
        <w:ind w:firstLine="420"/>
        <w:jc w:val="center"/>
      </w:pPr>
      <w:r>
        <w:drawing>
          <wp:inline distT="0" distB="0" distL="114300" distR="114300">
            <wp:extent cx="4477385" cy="2501900"/>
            <wp:effectExtent l="0" t="0" r="57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477385" cy="2501900"/>
                    </a:xfrm>
                    <a:prstGeom prst="rect">
                      <a:avLst/>
                    </a:prstGeom>
                    <a:noFill/>
                    <a:ln>
                      <a:noFill/>
                    </a:ln>
                  </pic:spPr>
                </pic:pic>
              </a:graphicData>
            </a:graphic>
          </wp:inline>
        </w:drawing>
      </w:r>
    </w:p>
    <w:p>
      <w:pPr>
        <w:pStyle w:val="4"/>
        <w:spacing w:line="300" w:lineRule="auto"/>
        <w:ind w:firstLine="420"/>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Autodesk拥有的12001615号专利（图片来源：JUSTIA Patents）</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也正因如此，当设计开发三维计算机图形软件时，即使没有主观上的侵权与抄袭行为，也有着陷入知识产权纠纷中的可能。以中望公司开发的国产软件中望CAD+为例：2014年2月21日，中望公司收到庭审通知，称欧特克公司在荷兰海牙法庭对中望及中望荷兰、比利时代理提起诉讼，认为中望CAD+2012、2014两个版本涉嫌抄袭AUTO CAD2008部分源代码，并以此提出了“禁售中望CAD+、道歉、产品召回、赔偿”等系列诉求。</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荷兰海牙法庭于4月7日对美国欧特克（AUTODESK）公司起诉我国国产软件中望CAD+抄袭其公司产品AUTO CAD2008一案作出一审判决：中望CAD+对AUTO CAD2008不构成侵权。此外，3月26日，在荷兰法庭尚未宣布判决结果的情况下，欧特克公司在美国加利福尼亚北部地区法院再次以同样理由对广州中望数字化设计软件有限责任公司提起诉讼。</w:t>
      </w:r>
    </w:p>
    <w:p>
      <w:pPr>
        <w:spacing w:line="300" w:lineRule="auto"/>
        <w:ind w:firstLine="420"/>
        <w:jc w:val="center"/>
      </w:pPr>
      <w:r>
        <w:drawing>
          <wp:inline distT="0" distB="0" distL="114300" distR="114300">
            <wp:extent cx="5868035" cy="2818765"/>
            <wp:effectExtent l="0" t="0" r="1206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868035" cy="2818765"/>
                    </a:xfrm>
                    <a:prstGeom prst="rect">
                      <a:avLst/>
                    </a:prstGeom>
                    <a:noFill/>
                    <a:ln>
                      <a:noFill/>
                    </a:ln>
                  </pic:spPr>
                </pic:pic>
              </a:graphicData>
            </a:graphic>
          </wp:inline>
        </w:drawing>
      </w:r>
    </w:p>
    <w:p>
      <w:pPr>
        <w:pStyle w:val="4"/>
        <w:spacing w:line="300" w:lineRule="auto"/>
        <w:ind w:firstLine="420"/>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国产软件企业中望首战打赢跨国版权官司（图片来源：ncac.gov.cn）</w:t>
      </w:r>
    </w:p>
    <w:p>
      <w:pPr>
        <w:spacing w:line="300" w:lineRule="auto"/>
        <w:ind w:firstLine="42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中美之间的科技战，其中的表现形式之一就是针对重要领域的核心技术进行专利布局，形成专利壁垒，限制中国企业的技术发展和市场扩张，这要求国产企业在设计开发三维计算机图形软件时，需密切关注专利法律风险，采取积极的知识产权管理策略，降低侵权风险，同时也需要具备足够技术创新和市场竞争力，以与国外三维计算机图形软件进行抗衡。</w:t>
      </w:r>
    </w:p>
    <w:p>
      <w:pPr>
        <w:pStyle w:val="3"/>
        <w:rPr>
          <w:rFonts w:hint="eastAsia" w:ascii="Times New Roman" w:hAnsi="Times New Roman" w:eastAsia="黑体" w:cs="Times New Roman"/>
        </w:rPr>
      </w:pPr>
      <w:r>
        <w:rPr>
          <w:rFonts w:ascii="Times New Roman" w:hAnsi="Times New Roman" w:eastAsia="黑体" w:cs="Times New Roman"/>
        </w:rPr>
        <w:t xml:space="preserve">3.2 </w:t>
      </w:r>
      <w:r>
        <w:rPr>
          <w:rFonts w:hint="eastAsia" w:ascii="Times New Roman" w:hAnsi="Times New Roman" w:eastAsia="黑体" w:cs="Times New Roman"/>
        </w:rPr>
        <w:t>软件著作权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软件著作权：是指自然人、法人或者其他组织对计算机软件作品享有的财产权利和精神权利的总称。软件著作权是知识产权的重要组成部分，它保护的是计算机软件作品的原创性表达。这包括但不限于源代码、目标代码、用户界面设计、文档等。软件著作权的保护不仅限于程序本身，还扩展到软件的各个组成部分和表现形式。</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软件著作权通常在作品创作完成时自动产生，无需进行注册。但为了在法律诉讼中提供更强的证据支持，许多国家和地区允许软件著作权进行登记。中国的软件著作权法是依据《中华人民共和国著作权法》（以下简称《著作权法》）及其相关实施条例来规范和保护计算机软件著作权的；根据《著作权法》的规定，软件著作权自软件创作完成之时自动产生，无需进行注册。虽然著作权自动产生，但中国鼓励软件著作权人进行登记，以获得更强的法律保护证据。软件著作权的保护范围包括源代码、目标代码、用户界面设计、文档等。</w:t>
      </w:r>
    </w:p>
    <w:p>
      <w:pPr>
        <w:spacing w:line="300" w:lineRule="auto"/>
        <w:ind w:firstLine="420"/>
        <w:jc w:val="center"/>
      </w:pPr>
      <w:r>
        <w:drawing>
          <wp:inline distT="0" distB="0" distL="114300" distR="114300">
            <wp:extent cx="5509260" cy="2952115"/>
            <wp:effectExtent l="0" t="0" r="254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509260" cy="2952115"/>
                    </a:xfrm>
                    <a:prstGeom prst="rect">
                      <a:avLst/>
                    </a:prstGeom>
                    <a:noFill/>
                    <a:ln>
                      <a:noFill/>
                    </a:ln>
                  </pic:spPr>
                </pic:pic>
              </a:graphicData>
            </a:graphic>
          </wp:inline>
        </w:drawing>
      </w:r>
    </w:p>
    <w:p>
      <w:pPr>
        <w:pStyle w:val="4"/>
        <w:spacing w:line="300" w:lineRule="auto"/>
        <w:ind w:firstLine="420"/>
        <w:jc w:val="center"/>
        <w:rPr>
          <w:rFonts w:hint="eastAsia" w:eastAsiaTheme="minor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中华人民共和国著作权法（图片来源：gov.cn 2024/06/08-</w:t>
      </w:r>
      <w:r>
        <w:rPr>
          <w:rFonts w:hint="eastAsia"/>
          <w:lang w:val="en-US" w:eastAsia="zh-CN"/>
        </w:rPr>
        <w:t>0</w:t>
      </w:r>
      <w:r>
        <w:rPr>
          <w:rFonts w:hint="eastAsia"/>
          <w:lang w:eastAsia="zh-CN"/>
        </w:rPr>
        <w:t>9:19）</w:t>
      </w:r>
    </w:p>
    <w:p>
      <w:pPr>
        <w:spacing w:line="300" w:lineRule="auto"/>
        <w:ind w:firstLine="420"/>
        <w:jc w:val="center"/>
        <w:rPr>
          <w:rFonts w:hint="eastAsia"/>
          <w:lang w:val="en-US" w:eastAsia="zh-CN"/>
        </w:rPr>
      </w:pPr>
    </w:p>
    <w:p>
      <w:pPr>
        <w:spacing w:line="300" w:lineRule="auto"/>
        <w:ind w:firstLine="420"/>
      </w:pPr>
      <w:r>
        <w:rPr>
          <w:rFonts w:hint="eastAsia" w:ascii="Times New Roman" w:hAnsi="Times New Roman" w:eastAsia="黑体" w:cs="Times New Roman"/>
          <w:sz w:val="24"/>
          <w:lang w:val="en-US" w:eastAsia="zh-CN"/>
        </w:rPr>
        <w:t>为充分保护开发者的知识财产，当进行三维计算机软件的设计与开发工作时，应积极及时地依据相应法律进行软著登记，登记可以提供作品创作和所有权的明确记录，有助于解决侵权纠纷。根据中国版权保护中心发布的《新时代中国软件著作权登记报告》，中国的软件著作权登记数量在过去十年里显著增长，这表明了包括三维计算机图形软件在内的各类软件正在积极进行著作权登记以保护其知识产权。</w:t>
      </w:r>
    </w:p>
    <w:p>
      <w:pPr>
        <w:spacing w:line="300" w:lineRule="auto"/>
        <w:jc w:val="center"/>
      </w:pPr>
      <w:r>
        <w:drawing>
          <wp:inline distT="0" distB="0" distL="114300" distR="114300">
            <wp:extent cx="5621020" cy="3331210"/>
            <wp:effectExtent l="0" t="0" r="508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rcRect t="10135"/>
                    <a:stretch>
                      <a:fillRect/>
                    </a:stretch>
                  </pic:blipFill>
                  <pic:spPr>
                    <a:xfrm>
                      <a:off x="0" y="0"/>
                      <a:ext cx="5621020" cy="3331210"/>
                    </a:xfrm>
                    <a:prstGeom prst="rect">
                      <a:avLst/>
                    </a:prstGeom>
                    <a:noFill/>
                    <a:ln>
                      <a:noFill/>
                    </a:ln>
                  </pic:spPr>
                </pic:pic>
              </a:graphicData>
            </a:graphic>
          </wp:inline>
        </w:drawing>
      </w:r>
    </w:p>
    <w:p>
      <w:pPr>
        <w:pStyle w:val="4"/>
        <w:spacing w:line="300" w:lineRule="auto"/>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新时代中国软件著作权登记报告（图片来源：ncac.gov.cn）</w:t>
      </w:r>
    </w:p>
    <w:p>
      <w:pPr>
        <w:spacing w:line="300" w:lineRule="auto"/>
        <w:ind w:firstLine="420"/>
        <w:rPr>
          <w:rFonts w:hint="eastAsia" w:eastAsia="黑体"/>
          <w:lang w:eastAsia="zh-CN"/>
        </w:rPr>
      </w:pPr>
      <w:r>
        <w:rPr>
          <w:rFonts w:hint="eastAsia" w:ascii="Times New Roman" w:hAnsi="Times New Roman" w:eastAsia="黑体" w:cs="Times New Roman"/>
          <w:sz w:val="24"/>
          <w:lang w:val="en-US" w:eastAsia="zh-CN"/>
        </w:rPr>
        <w:t>报告中提到，自2012年以来，我国软件登记年均增速为29.42%，远高于软件产业增速，显示了软件著作权登记的活跃态势，我国企业所开发的三维计算机图形软件大部分均已申请软著，以充分保护自身的软件所有权。</w:t>
      </w:r>
    </w:p>
    <w:p>
      <w:pPr>
        <w:pStyle w:val="4"/>
        <w:keepNext/>
        <w:spacing w:line="300" w:lineRule="auto"/>
        <w:jc w:val="cente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已登记软件著作权</w:t>
      </w:r>
      <w:r>
        <w:rPr>
          <w:rFonts w:hint="eastAsia"/>
        </w:rPr>
        <w:t>的国产</w:t>
      </w:r>
      <w:r>
        <w:t>CAD软件</w:t>
      </w:r>
      <w:r>
        <w:rPr>
          <w:rFonts w:hint="eastAsia"/>
          <w:lang w:eastAsia="zh-CN"/>
        </w:rPr>
        <w:t>（</w:t>
      </w:r>
      <w:r>
        <w:rPr>
          <w:rFonts w:hint="eastAsia"/>
          <w:lang w:val="en-US" w:eastAsia="zh-CN"/>
        </w:rPr>
        <w:t>数据来源：天眼查2024-06-08 09:36</w:t>
      </w:r>
      <w:r>
        <w:rPr>
          <w:rFonts w:hint="eastAsia"/>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3"/>
        <w:gridCol w:w="2364"/>
        <w:gridCol w:w="2364"/>
        <w:gridCol w:w="2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Theme="minorEastAsia"/>
                <w:lang w:val="en-US" w:eastAsia="zh-CN"/>
              </w:rPr>
            </w:pPr>
            <w:r>
              <w:rPr>
                <w:rFonts w:hint="eastAsia"/>
              </w:rPr>
              <w:t>软件</w:t>
            </w:r>
            <w:r>
              <w:rPr>
                <w:rFonts w:hint="eastAsia"/>
                <w:lang w:val="en-US" w:eastAsia="zh-CN"/>
              </w:rPr>
              <w:t>名称</w:t>
            </w:r>
          </w:p>
        </w:tc>
        <w:tc>
          <w:tcPr>
            <w:tcW w:w="2364" w:type="dxa"/>
          </w:tcPr>
          <w:p>
            <w:pPr>
              <w:spacing w:line="300" w:lineRule="auto"/>
            </w:pPr>
            <w:r>
              <w:rPr>
                <w:rFonts w:hint="eastAsia"/>
              </w:rPr>
              <w:t>企业</w:t>
            </w:r>
          </w:p>
        </w:tc>
        <w:tc>
          <w:tcPr>
            <w:tcW w:w="2364" w:type="dxa"/>
          </w:tcPr>
          <w:p>
            <w:pPr>
              <w:spacing w:line="300" w:lineRule="auto"/>
              <w:rPr>
                <w:rFonts w:hint="eastAsia" w:eastAsiaTheme="minorEastAsia"/>
                <w:lang w:val="en-US" w:eastAsia="zh-CN"/>
              </w:rPr>
            </w:pPr>
            <w:r>
              <w:rPr>
                <w:rFonts w:hint="eastAsia"/>
                <w:lang w:val="en-US" w:eastAsia="zh-CN"/>
              </w:rPr>
              <w:t>登记号</w:t>
            </w:r>
          </w:p>
        </w:tc>
        <w:tc>
          <w:tcPr>
            <w:tcW w:w="2364" w:type="dxa"/>
          </w:tcPr>
          <w:p>
            <w:pPr>
              <w:spacing w:line="300" w:lineRule="auto"/>
              <w:rPr>
                <w:rFonts w:hint="default" w:eastAsiaTheme="minorEastAsia"/>
                <w:lang w:val="en-US" w:eastAsia="zh-CN"/>
              </w:rPr>
            </w:pPr>
            <w:r>
              <w:rPr>
                <w:rFonts w:hint="eastAsia"/>
                <w:lang w:val="en-US" w:eastAsia="zh-CN"/>
              </w:rPr>
              <w:t>登记日期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pPr>
            <w:r>
              <w:rPr>
                <w:rFonts w:hint="eastAsia" w:ascii="Times New Roman" w:hAnsi="Times New Roman" w:eastAsia="黑体" w:cs="Times New Roman"/>
                <w:sz w:val="24"/>
                <w:lang w:val="en-US" w:eastAsia="zh-CN"/>
              </w:rPr>
              <w:t>ZW3D</w:t>
            </w:r>
          </w:p>
        </w:tc>
        <w:tc>
          <w:tcPr>
            <w:tcW w:w="2364" w:type="dxa"/>
          </w:tcPr>
          <w:p>
            <w:pPr>
              <w:spacing w:line="300" w:lineRule="auto"/>
              <w:rPr>
                <w:rFonts w:hint="default" w:eastAsia="黑体"/>
                <w:lang w:val="en-US" w:eastAsia="zh-CN"/>
              </w:rPr>
            </w:pPr>
            <w:r>
              <w:rPr>
                <w:rFonts w:hint="eastAsia" w:ascii="Times New Roman" w:hAnsi="Times New Roman" w:eastAsia="黑体" w:cs="Times New Roman"/>
                <w:sz w:val="24"/>
                <w:lang w:val="en-US" w:eastAsia="zh-CN"/>
              </w:rPr>
              <w:t>广州中望龙腾软件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2023SR1220471</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2023-10-12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default" w:eastAsia="黑体"/>
                <w:lang w:val="en-US" w:eastAsia="zh-CN"/>
              </w:rPr>
            </w:pPr>
            <w:r>
              <w:rPr>
                <w:rFonts w:ascii="Times New Roman" w:hAnsi="Times New Roman" w:eastAsia="黑体" w:cs="Times New Roman"/>
                <w:sz w:val="24"/>
              </w:rPr>
              <w:t>CAXA</w:t>
            </w:r>
            <w:r>
              <w:rPr>
                <w:rFonts w:hint="eastAsia" w:ascii="Times New Roman" w:hAnsi="Times New Roman" w:eastAsia="黑体" w:cs="Times New Roman"/>
                <w:sz w:val="24"/>
                <w:lang w:val="en-US" w:eastAsia="zh-CN"/>
              </w:rPr>
              <w:t>电子图板</w:t>
            </w:r>
          </w:p>
        </w:tc>
        <w:tc>
          <w:tcPr>
            <w:tcW w:w="2364" w:type="dxa"/>
          </w:tcPr>
          <w:p>
            <w:pPr>
              <w:spacing w:line="300" w:lineRule="auto"/>
            </w:pPr>
            <w:r>
              <w:rPr>
                <w:rFonts w:ascii="Times New Roman" w:hAnsi="Times New Roman" w:eastAsia="黑体" w:cs="Times New Roman"/>
                <w:sz w:val="24"/>
              </w:rPr>
              <w:t>北京数码大方科技</w:t>
            </w:r>
          </w:p>
        </w:tc>
        <w:tc>
          <w:tcPr>
            <w:tcW w:w="2364" w:type="dxa"/>
          </w:tcPr>
          <w:p>
            <w:pPr>
              <w:spacing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2012SR080647</w:t>
            </w:r>
          </w:p>
        </w:tc>
        <w:tc>
          <w:tcPr>
            <w:tcW w:w="2364" w:type="dxa"/>
          </w:tcPr>
          <w:p>
            <w:pPr>
              <w:spacing w:line="300" w:lineRule="auto"/>
              <w:rPr>
                <w:rFonts w:ascii="Times New Roman" w:hAnsi="Times New Roman" w:eastAsia="黑体" w:cs="Times New Roman"/>
                <w:sz w:val="24"/>
              </w:rPr>
            </w:pPr>
            <w:r>
              <w:rPr>
                <w:rFonts w:hint="eastAsia" w:ascii="Times New Roman" w:hAnsi="Times New Roman" w:eastAsia="黑体" w:cs="Times New Roman"/>
                <w:sz w:val="24"/>
                <w:lang w:val="en-US" w:eastAsia="zh-CN"/>
              </w:rPr>
              <w:t>2012-08-29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黑体"/>
                <w:lang w:val="en-US" w:eastAsia="zh-CN"/>
              </w:rPr>
            </w:pPr>
            <w:r>
              <w:rPr>
                <w:rFonts w:ascii="Times New Roman" w:hAnsi="Times New Roman" w:eastAsia="黑体" w:cs="Times New Roman"/>
                <w:sz w:val="24"/>
              </w:rPr>
              <w:t>华天CAD</w:t>
            </w:r>
          </w:p>
        </w:tc>
        <w:tc>
          <w:tcPr>
            <w:tcW w:w="2364" w:type="dxa"/>
          </w:tcPr>
          <w:p>
            <w:pPr>
              <w:spacing w:line="300" w:lineRule="auto"/>
            </w:pPr>
            <w:r>
              <w:rPr>
                <w:rFonts w:ascii="Times New Roman" w:hAnsi="Times New Roman" w:eastAsia="黑体" w:cs="Times New Roman"/>
                <w:sz w:val="24"/>
              </w:rPr>
              <w:t>山东</w:t>
            </w:r>
            <w:r>
              <w:rPr>
                <w:rFonts w:hint="eastAsia" w:ascii="Times New Roman" w:hAnsi="Times New Roman" w:eastAsia="黑体" w:cs="Times New Roman"/>
                <w:sz w:val="24"/>
                <w:lang w:val="en-US" w:eastAsia="zh-CN"/>
              </w:rPr>
              <w:t>山大</w:t>
            </w:r>
            <w:r>
              <w:rPr>
                <w:rFonts w:ascii="Times New Roman" w:hAnsi="Times New Roman" w:eastAsia="黑体" w:cs="Times New Roman"/>
                <w:sz w:val="24"/>
              </w:rPr>
              <w:t>华天软件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2020SR0325186</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2020-04-10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3" w:type="dxa"/>
          </w:tcPr>
          <w:p>
            <w:pPr>
              <w:spacing w:line="300" w:lineRule="auto"/>
              <w:rPr>
                <w:rFonts w:hint="eastAsia" w:eastAsia="黑体"/>
                <w:lang w:eastAsia="zh-CN"/>
              </w:rPr>
            </w:pPr>
            <w:r>
              <w:rPr>
                <w:rFonts w:ascii="Times New Roman" w:hAnsi="Times New Roman" w:eastAsia="黑体" w:cs="Times New Roman"/>
                <w:sz w:val="24"/>
              </w:rPr>
              <w:t>浩辰CAD</w:t>
            </w:r>
          </w:p>
        </w:tc>
        <w:tc>
          <w:tcPr>
            <w:tcW w:w="2364" w:type="dxa"/>
          </w:tcPr>
          <w:p>
            <w:pPr>
              <w:spacing w:line="300" w:lineRule="auto"/>
            </w:pPr>
            <w:r>
              <w:rPr>
                <w:rFonts w:ascii="Times New Roman" w:hAnsi="Times New Roman" w:eastAsia="黑体" w:cs="Times New Roman"/>
                <w:sz w:val="24"/>
              </w:rPr>
              <w:t>苏州浩辰软件</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2018SR585220</w:t>
            </w:r>
          </w:p>
        </w:tc>
        <w:tc>
          <w:tcPr>
            <w:tcW w:w="2364" w:type="dxa"/>
          </w:tcPr>
          <w:p>
            <w:pPr>
              <w:spacing w:line="300" w:lineRule="auto"/>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2018-07-25</w:t>
            </w:r>
          </w:p>
        </w:tc>
      </w:tr>
    </w:tbl>
    <w:p>
      <w:pPr>
        <w:spacing w:line="300" w:lineRule="auto"/>
        <w:rPr>
          <w:rFonts w:hint="default" w:ascii="Times New Roman" w:hAnsi="Times New Roman" w:eastAsia="黑体" w:cs="Times New Roman"/>
          <w:sz w:val="24"/>
          <w:lang w:val="en-US" w:eastAsia="zh-CN"/>
        </w:rPr>
      </w:pPr>
    </w:p>
    <w:p>
      <w:pPr>
        <w:pStyle w:val="3"/>
      </w:pPr>
      <w:r>
        <w:rPr>
          <w:rFonts w:ascii="Times New Roman" w:hAnsi="Times New Roman" w:eastAsia="黑体" w:cs="Times New Roman"/>
        </w:rPr>
        <w:t>3.3</w:t>
      </w:r>
      <w:r>
        <w:rPr>
          <w:rFonts w:hint="eastAsia" w:ascii="Times New Roman" w:hAnsi="Times New Roman" w:eastAsia="黑体" w:cs="Times New Roman"/>
        </w:rPr>
        <w:t>商标权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商标权是民事主体享有的在特定的商品或服务上以区分来源为目的排他性使用特定标志的权利。商标权的取得方式包括通过使用取得商标权和通过注册取得商标权两种方式。通过注册获得商标权又称为注册商标专用权。</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在我国，商标注册是取得商标权的基本途径,而美国则采取的是商标使用取得原则，该原则认为，商标只有真实地使用，才能发挥商标的功能和作用，无使用的商标无必要给予商标权保护。</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商标权的保护范围广泛，包括但不限于软件名称、图形标志、徽标、口号等。这些元素共同构成了软件产品的品牌识别系统，对于企业的市场推广和用户忠诚度具有重要影响。因此，商标的创意和设计，</w:t>
      </w:r>
      <w:r>
        <w:rPr>
          <w:rFonts w:hint="eastAsia" w:ascii="Times New Roman" w:hAnsi="Times New Roman" w:eastAsia="黑体" w:cs="Times New Roman"/>
          <w:sz w:val="24"/>
          <w:lang w:val="en-US" w:eastAsia="zh-CN"/>
        </w:rPr>
        <w:t>是否具有</w:t>
      </w:r>
      <w:r>
        <w:rPr>
          <w:rFonts w:hint="default" w:ascii="Times New Roman" w:hAnsi="Times New Roman" w:eastAsia="黑体" w:cs="Times New Roman"/>
          <w:sz w:val="24"/>
          <w:lang w:val="en-US" w:eastAsia="zh-CN"/>
        </w:rPr>
        <w:t>独特性和辨识度</w:t>
      </w:r>
      <w:r>
        <w:rPr>
          <w:rFonts w:hint="eastAsia" w:ascii="Times New Roman" w:hAnsi="Times New Roman" w:eastAsia="黑体" w:cs="Times New Roman"/>
          <w:sz w:val="24"/>
          <w:lang w:val="en-US" w:eastAsia="zh-CN"/>
        </w:rPr>
        <w:t>，是商标成功与否的关键标准</w:t>
      </w:r>
      <w:r>
        <w:rPr>
          <w:rFonts w:hint="default" w:ascii="Times New Roman" w:hAnsi="Times New Roman" w:eastAsia="黑体" w:cs="Times New Roman"/>
          <w:sz w:val="24"/>
          <w:lang w:val="en-US" w:eastAsia="zh-CN"/>
        </w:rPr>
        <w:t>。</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案例分析中提到的Autodesk公司，其在三维计算机图形软件领域</w:t>
      </w:r>
      <w:r>
        <w:rPr>
          <w:rFonts w:hint="eastAsia" w:ascii="Times New Roman" w:hAnsi="Times New Roman" w:eastAsia="黑体" w:cs="Times New Roman"/>
          <w:sz w:val="24"/>
          <w:lang w:val="en-US" w:eastAsia="zh-CN"/>
        </w:rPr>
        <w:t>拥有</w:t>
      </w:r>
      <w:r>
        <w:rPr>
          <w:rFonts w:hint="default" w:ascii="Times New Roman" w:hAnsi="Times New Roman" w:eastAsia="黑体" w:cs="Times New Roman"/>
          <w:sz w:val="24"/>
          <w:lang w:val="en-US" w:eastAsia="zh-CN"/>
        </w:rPr>
        <w:t>的强大知识产权保护能力，同样体现在其商标权的管理和运用上</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Autodesk通过精心设计的商标和品牌策略，成功塑造了其在全球软件市场的领导地位。</w:t>
      </w:r>
    </w:p>
    <w:p>
      <w:pPr>
        <w:spacing w:line="300" w:lineRule="auto"/>
        <w:ind w:firstLine="420"/>
        <w:jc w:val="center"/>
      </w:pPr>
      <w:r>
        <w:drawing>
          <wp:inline distT="0" distB="0" distL="114300" distR="114300">
            <wp:extent cx="3178810" cy="2803525"/>
            <wp:effectExtent l="0" t="0" r="889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3178810" cy="2803525"/>
                    </a:xfrm>
                    <a:prstGeom prst="rect">
                      <a:avLst/>
                    </a:prstGeom>
                    <a:noFill/>
                    <a:ln>
                      <a:noFill/>
                    </a:ln>
                  </pic:spPr>
                </pic:pic>
              </a:graphicData>
            </a:graphic>
          </wp:inline>
        </w:drawing>
      </w:r>
    </w:p>
    <w:p>
      <w:pPr>
        <w:pStyle w:val="4"/>
        <w:spacing w:line="300" w:lineRule="auto"/>
        <w:ind w:firstLine="420"/>
        <w:jc w:val="center"/>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Autodesk拥有的商标（图片来源：Autodesk.com）</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对于国产软件企业而言，商标权的保护同样不容忽视。以中望公司为例，其在面对跨国公司的法律诉讼时，不仅在专利权和软件著作权方面进行了积极应对，也在商标权方面进行了严格的管理和保护，确保了品牌形象和市场地位的稳固。</w:t>
      </w:r>
    </w:p>
    <w:p>
      <w:pPr>
        <w:spacing w:line="300" w:lineRule="auto"/>
        <w:ind w:firstLine="420"/>
        <w:jc w:val="center"/>
      </w:pPr>
      <w:r>
        <w:drawing>
          <wp:inline distT="0" distB="0" distL="114300" distR="114300">
            <wp:extent cx="3843655" cy="2774315"/>
            <wp:effectExtent l="0" t="0" r="4445"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3843655" cy="2774315"/>
                    </a:xfrm>
                    <a:prstGeom prst="rect">
                      <a:avLst/>
                    </a:prstGeom>
                    <a:noFill/>
                    <a:ln>
                      <a:noFill/>
                    </a:ln>
                  </pic:spPr>
                </pic:pic>
              </a:graphicData>
            </a:graphic>
          </wp:inline>
        </w:drawing>
      </w:r>
    </w:p>
    <w:p>
      <w:pPr>
        <w:pStyle w:val="4"/>
        <w:spacing w:line="300" w:lineRule="auto"/>
        <w:ind w:firstLine="42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中望CAD商标注册情况（图片来源：爱企查）</w:t>
      </w:r>
    </w:p>
    <w:p>
      <w:pPr>
        <w:spacing w:line="300" w:lineRule="auto"/>
        <w:ind w:firstLine="42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商标权作为知识产权的重要组成部分，</w:t>
      </w:r>
      <w:r>
        <w:rPr>
          <w:rFonts w:hint="eastAsia" w:ascii="Times New Roman" w:hAnsi="Times New Roman" w:eastAsia="黑体" w:cs="Times New Roman"/>
          <w:sz w:val="24"/>
          <w:lang w:val="en-US" w:eastAsia="zh-CN"/>
        </w:rPr>
        <w:t>三维计算机图形软件的设计与开发过程中</w:t>
      </w:r>
      <w:r>
        <w:rPr>
          <w:rFonts w:hint="default" w:ascii="Times New Roman" w:hAnsi="Times New Roman" w:eastAsia="黑体" w:cs="Times New Roman"/>
          <w:sz w:val="24"/>
          <w:lang w:val="en-US" w:eastAsia="zh-CN"/>
        </w:rPr>
        <w:t>应充分认识到商标权的重要性，采取有效措施进行商标的创造、注册、维护和运用，以增强自身的市场竞争力和品牌影响力。</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可以看到，知识产权在三维计算机图形软件的设计与开发中扮演着至关重要的角色。开发者及企业需要采取全面的知识产权保护措施，依法维护自身的合法权益，并保护自身的合法利益。</w:t>
      </w:r>
      <w:bookmarkStart w:id="2" w:name="_GoBack"/>
      <w:bookmarkEnd w:id="2"/>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ZjMGRlOWU2ODU5ZTExMzVjM2RmNjQ2YTI1YTAxODA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118714DF"/>
    <w:rsid w:val="16C07574"/>
    <w:rsid w:val="272C3F3F"/>
    <w:rsid w:val="293D024E"/>
    <w:rsid w:val="33F71F22"/>
    <w:rsid w:val="44BD547D"/>
    <w:rsid w:val="53ED6DCE"/>
    <w:rsid w:val="58B72581"/>
    <w:rsid w:val="6BCF19C6"/>
    <w:rsid w:val="733926BF"/>
    <w:rsid w:val="784309DA"/>
    <w:rsid w:val="7F3B4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4939</Words>
  <Characters>5616</Characters>
  <Lines>160</Lines>
  <Paragraphs>150</Paragraphs>
  <TotalTime>7</TotalTime>
  <ScaleCrop>false</ScaleCrop>
  <LinksUpToDate>false</LinksUpToDate>
  <CharactersWithSpaces>5688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2024-06-08T02:07:23Z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6C5F6C0ABE274CC48A1F1614CC6D587A_12</vt:lpwstr>
  </property>
</Properties>
</file>