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Sequence Evidence Workbench User Manual</w:t>
      </w:r>
    </w:p>
    <w:p>
      <w:pPr>
        <w:spacing w:after="280"/>
      </w:pPr>
      <w:r>
        <w:rPr>
          <w:color w:val="465A6E"/>
          <w:sz w:val="22"/>
        </w:rPr>
        <w:t>Installation, first launch, data import, analysis, and export | GitHub release</w:t>
      </w:r>
    </w:p>
    <w:p>
      <w:r>
        <w:t>This manual explains how to run the Sequence Evidence Workbench locally. Uploaded files, the database, caches, and results stay in a local data directory. After the first launch, confirm the empty workspace state before importing study data.</w:t>
      </w:r>
    </w:p>
    <w:p>
      <w:pPr>
        <w:pStyle w:val="Heading1"/>
      </w:pPr>
      <w:r>
        <w:t>1. Requirements and installation</w:t>
      </w:r>
    </w:p>
    <w:p>
      <w:pPr>
        <w:pStyle w:val="ListBullet"/>
      </w:pPr>
      <w:r>
        <w:t xml:space="preserve">macOS or Windows, </w:t>
      </w:r>
      <w:hyperlink r:id="rId10">
        <w:r>
          <w:rPr>
            <w:color w:val="0563C1"/>
            <w:u w:val="single"/>
          </w:rPr>
          <w:t>Node.js 22 (official download)</w:t>
        </w:r>
      </w:hyperlink>
      <w:r>
        <w:t xml:space="preserve"> or later, and npm (bundled with Node.js automatically).</w:t>
      </w:r>
    </w:p>
    <w:p>
      <w:pPr>
        <w:pStyle w:val="ListBullet"/>
      </w:pPr>
      <w:r>
        <w:t xml:space="preserve">Optional command-line tools: </w:t>
      </w:r>
      <w:hyperlink r:id="rId11">
        <w:r>
          <w:rPr>
            <w:color w:val="0563C1"/>
            <w:u w:val="single"/>
          </w:rPr>
          <w:t>FastQC</w:t>
        </w:r>
      </w:hyperlink>
      <w:r>
        <w:t xml:space="preserve">, </w:t>
      </w:r>
      <w:hyperlink r:id="rId12">
        <w:r>
          <w:rPr>
            <w:color w:val="0563C1"/>
            <w:u w:val="single"/>
          </w:rPr>
          <w:t>Cutadapt</w:t>
        </w:r>
      </w:hyperlink>
      <w:r>
        <w:t xml:space="preserve">, </w:t>
      </w:r>
      <w:hyperlink r:id="rId13">
        <w:r>
          <w:rPr>
            <w:color w:val="0563C1"/>
            <w:u w:val="single"/>
          </w:rPr>
          <w:t>tRNAscan-SE</w:t>
        </w:r>
      </w:hyperlink>
      <w:r>
        <w:t xml:space="preserve">, and </w:t>
      </w:r>
      <w:hyperlink r:id="rId14">
        <w:r>
          <w:rPr>
            <w:color w:val="0563C1"/>
            <w:u w:val="single"/>
          </w:rPr>
          <w:t>BLAST+</w:t>
        </w:r>
      </w:hyperlink>
      <w:r>
        <w:t>. Install only the tools needed for the corresponding steps; the project does not bundle them.</w:t>
      </w:r>
    </w:p>
    <w:p>
      <w:pPr>
        <w:pStyle w:val="ListBullet"/>
      </w:pPr>
      <w:r>
        <w:t>Download and extract the GitHub ZIP, or clone the repository. Keep the project folder structure intact.</w:t>
      </w:r>
    </w:p>
    <w:p>
      <w:pPr>
        <w:pStyle w:val="Heading1"/>
      </w:pPr>
      <w:r>
        <w:t>2. First launch</w:t>
      </w:r>
    </w:p>
    <w:p>
      <w:pPr/>
      <w:r>
        <w:t>1.  On macOS, open `Sequence-Evidence-Workbench.app` or `Launch-Workbench.command`. On Windows, open `Launch-Workbench.bat`.</w:t>
      </w:r>
    </w:p>
    <w:p>
      <w:pPr/>
      <w:r>
        <w:t>2.  For a terminal launch, run `npm install` in the project folder, then run `npm start`.</w:t>
      </w:r>
    </w:p>
    <w:p>
      <w:pPr/>
      <w:r>
        <w:t>3.  Open the local URL printed by the terminal. The default is `http://localhost:8817/`. Keep the terminal open; press Ctrl+C to stop the server.</w:t>
      </w:r>
    </w:p>
    <w:p>
      <w:pPr/>
      <w:r>
        <w:t>4.  A fresh installation should show the overview, an empty project-assets list, and analysis stages waiting for input. The tool status indicates which optional programs are available.</w:t>
      </w:r>
    </w:p>
    <w:p>
      <w:pPr>
        <w:pStyle w:val="Heading1"/>
      </w:pPr>
      <w:r>
        <w:t>3. Data location and privacy</w:t>
      </w:r>
    </w:p>
    <w:p>
      <w:r>
        <w:t>By default, data is stored in the project’s data/ directory. Stop the server before changing locations. Set WORKBENCH_DATA_DIR when launching, for example:</w:t>
      </w:r>
    </w:p>
    <w:p>
      <w:r>
        <w:t>WORKBENCH_DATA_DIR=/absolute/path/workbench-data npm start</w:t>
      </w:r>
    </w:p>
    <w:p>
      <w:r>
        <w:t>On Windows PowerShell: $env:WORKBENCH_DATA_DIR="D:\WorkbenchData"; npm start. The directory is created automatically. The database, uploaded files, caches, and intermediate results may contain sensitive information. Do not commit them to a public repository.</w:t>
      </w:r>
    </w:p>
    <w:p>
      <w:pPr>
        <w:pStyle w:val="Heading1"/>
      </w:pPr>
      <w:r>
        <w:t>4. Input files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17365D"/>
            <w:tcMar>
              <w:top w:w="100" w:type="dxa"/>
              <w:start w:w="130" w:type="dxa"/>
              <w:bottom w:w="100" w:type="dxa"/>
              <w:end w:w="130" w:type="dxa"/>
            </w:tcMar>
          </w:tcPr>
          <w:p>
            <w:r>
              <w:rPr>
                <w:b/>
                <w:color w:val="FFFFFF"/>
                <w:sz w:val="18"/>
              </w:rPr>
              <w:t>Input</w:t>
            </w:r>
          </w:p>
        </w:tc>
        <w:tc>
          <w:tcPr>
            <w:tcW w:type="dxa" w:w="3312"/>
            <w:shd w:fill="17365D"/>
            <w:tcMar>
              <w:top w:w="100" w:type="dxa"/>
              <w:start w:w="130" w:type="dxa"/>
              <w:bottom w:w="100" w:type="dxa"/>
              <w:end w:w="130" w:type="dxa"/>
            </w:tcMar>
          </w:tcPr>
          <w:p>
            <w:r>
              <w:rPr>
                <w:b/>
                <w:color w:val="FFFFFF"/>
                <w:sz w:val="18"/>
              </w:rPr>
              <w:t>Formats</w:t>
            </w:r>
          </w:p>
        </w:tc>
        <w:tc>
          <w:tcPr>
            <w:tcW w:type="dxa" w:w="3312"/>
            <w:shd w:fill="17365D"/>
            <w:tcMar>
              <w:top w:w="100" w:type="dxa"/>
              <w:start w:w="130" w:type="dxa"/>
              <w:bottom w:w="100" w:type="dxa"/>
              <w:end w:w="130" w:type="dxa"/>
            </w:tcMar>
          </w:tcPr>
          <w:p>
            <w:r>
              <w:rPr>
                <w:b/>
                <w:color w:val="FFFFFF"/>
                <w:sz w:val="18"/>
              </w:rPr>
              <w:t>Guidance</w:t>
            </w:r>
          </w:p>
        </w:tc>
      </w:tr>
      <w:tr>
        <w:tc>
          <w:tcPr>
            <w:tcW w:type="dxa" w:w="3312"/>
            <w:tcMar>
              <w:top w:w="100" w:type="dxa"/>
              <w:start w:w="130" w:type="dxa"/>
              <w:bottom w:w="100" w:type="dxa"/>
              <w:end w:w="130" w:type="dxa"/>
            </w:tcMar>
          </w:tcPr>
          <w:p>
            <w:r>
              <w:rPr>
                <w:sz w:val="18"/>
              </w:rPr>
              <w:t>Bacterial assembly</w:t>
            </w:r>
          </w:p>
        </w:tc>
        <w:tc>
          <w:tcPr>
            <w:tcW w:type="dxa" w:w="3312"/>
            <w:tcMar>
              <w:top w:w="100" w:type="dxa"/>
              <w:start w:w="130" w:type="dxa"/>
              <w:bottom w:w="100" w:type="dxa"/>
              <w:end w:w="130" w:type="dxa"/>
            </w:tcMar>
          </w:tcPr>
          <w:p>
            <w:r>
              <w:rPr>
                <w:sz w:val="18"/>
              </w:rPr>
              <w:t>.fa / .fasta / .fna</w:t>
            </w:r>
          </w:p>
        </w:tc>
        <w:tc>
          <w:tcPr>
            <w:tcW w:type="dxa" w:w="3312"/>
            <w:tcMar>
              <w:top w:w="100" w:type="dxa"/>
              <w:start w:w="130" w:type="dxa"/>
              <w:bottom w:w="100" w:type="dxa"/>
              <w:end w:w="130" w:type="dxa"/>
            </w:tcMar>
          </w:tcPr>
          <w:p>
            <w:r>
              <w:rPr>
                <w:sz w:val="18"/>
              </w:rPr>
              <w:t>Use unique FASTA headers and IUPAC nucleotide sequences.</w:t>
            </w:r>
          </w:p>
        </w:tc>
      </w:tr>
      <w:tr>
        <w:tc>
          <w:tcPr>
            <w:tcW w:type="dxa" w:w="3312"/>
            <w:tcMar>
              <w:top w:w="100" w:type="dxa"/>
              <w:start w:w="130" w:type="dxa"/>
              <w:bottom w:w="100" w:type="dxa"/>
              <w:end w:w="130" w:type="dxa"/>
            </w:tcMar>
          </w:tcPr>
          <w:p>
            <w:r>
              <w:rPr>
                <w:sz w:val="18"/>
              </w:rPr>
              <w:t>OMV small RNA</w:t>
            </w:r>
          </w:p>
        </w:tc>
        <w:tc>
          <w:tcPr>
            <w:tcW w:type="dxa" w:w="3312"/>
            <w:tcMar>
              <w:top w:w="100" w:type="dxa"/>
              <w:start w:w="130" w:type="dxa"/>
              <w:bottom w:w="100" w:type="dxa"/>
              <w:end w:w="130" w:type="dxa"/>
            </w:tcMar>
          </w:tcPr>
          <w:p>
            <w:r>
              <w:rPr>
                <w:sz w:val="18"/>
              </w:rPr>
              <w:t>FASTQ / FASTQ.GZ / FASTA / CSV / TSV</w:t>
            </w:r>
          </w:p>
        </w:tc>
        <w:tc>
          <w:tcPr>
            <w:tcW w:type="dxa" w:w="3312"/>
            <w:tcMar>
              <w:top w:w="100" w:type="dxa"/>
              <w:start w:w="130" w:type="dxa"/>
              <w:bottom w:w="100" w:type="dxa"/>
              <w:end w:w="130" w:type="dxa"/>
            </w:tcMar>
          </w:tcPr>
          <w:p>
            <w:r>
              <w:rPr>
                <w:sz w:val="18"/>
              </w:rPr>
              <w:t>Associate the source strain and confirm preprocessing status accurately.</w:t>
            </w:r>
          </w:p>
        </w:tc>
      </w:tr>
      <w:tr>
        <w:tc>
          <w:tcPr>
            <w:tcW w:type="dxa" w:w="3312"/>
            <w:tcMar>
              <w:top w:w="100" w:type="dxa"/>
              <w:start w:w="130" w:type="dxa"/>
              <w:bottom w:w="100" w:type="dxa"/>
              <w:end w:w="130" w:type="dxa"/>
            </w:tcMar>
          </w:tcPr>
          <w:p>
            <w:r>
              <w:rPr>
                <w:sz w:val="18"/>
              </w:rPr>
              <w:t>Host differential expression</w:t>
            </w:r>
          </w:p>
        </w:tc>
        <w:tc>
          <w:tcPr>
            <w:tcW w:type="dxa" w:w="3312"/>
            <w:tcMar>
              <w:top w:w="100" w:type="dxa"/>
              <w:start w:w="130" w:type="dxa"/>
              <w:bottom w:w="100" w:type="dxa"/>
              <w:end w:w="130" w:type="dxa"/>
            </w:tcMar>
          </w:tcPr>
          <w:p>
            <w:r>
              <w:rPr>
                <w:sz w:val="18"/>
              </w:rPr>
              <w:t>CSV / TSV</w:t>
            </w:r>
          </w:p>
        </w:tc>
        <w:tc>
          <w:tcPr>
            <w:tcW w:type="dxa" w:w="3312"/>
            <w:tcMar>
              <w:top w:w="100" w:type="dxa"/>
              <w:start w:w="130" w:type="dxa"/>
              <w:bottom w:w="100" w:type="dxa"/>
              <w:end w:w="130" w:type="dxa"/>
            </w:tcMar>
          </w:tcPr>
          <w:p>
            <w:r>
              <w:rPr>
                <w:sz w:val="18"/>
              </w:rPr>
              <w:t>Include gene identifiers, log2FoldChange, and an FDR/padj field; name each cell line.</w:t>
            </w:r>
          </w:p>
        </w:tc>
      </w:tr>
      <w:tr>
        <w:tc>
          <w:tcPr>
            <w:tcW w:type="dxa" w:w="3312"/>
            <w:tcMar>
              <w:top w:w="100" w:type="dxa"/>
              <w:start w:w="130" w:type="dxa"/>
              <w:bottom w:w="100" w:type="dxa"/>
              <w:end w:w="130" w:type="dxa"/>
            </w:tcMar>
          </w:tcPr>
          <w:p>
            <w:r>
              <w:rPr>
                <w:sz w:val="18"/>
              </w:rPr>
              <w:t>tRNA annotation</w:t>
            </w:r>
          </w:p>
        </w:tc>
        <w:tc>
          <w:tcPr>
            <w:tcW w:type="dxa" w:w="3312"/>
            <w:tcMar>
              <w:top w:w="100" w:type="dxa"/>
              <w:start w:w="130" w:type="dxa"/>
              <w:bottom w:w="100" w:type="dxa"/>
              <w:end w:w="130" w:type="dxa"/>
            </w:tcMar>
          </w:tcPr>
          <w:p>
            <w:r>
              <w:rPr>
                <w:sz w:val="18"/>
              </w:rPr>
              <w:t>.out / .txt</w:t>
            </w:r>
          </w:p>
        </w:tc>
        <w:tc>
          <w:tcPr>
            <w:tcW w:type="dxa" w:w="3312"/>
            <w:tcMar>
              <w:top w:w="100" w:type="dxa"/>
              <w:start w:w="130" w:type="dxa"/>
              <w:bottom w:w="100" w:type="dxa"/>
              <w:end w:w="130" w:type="dxa"/>
            </w:tcMar>
          </w:tcPr>
          <w:p>
            <w:r>
              <w:rPr>
                <w:sz w:val="18"/>
              </w:rPr>
              <w:t>Import tRNAscan-SE output to avoid running that tool locally.</w:t>
            </w:r>
          </w:p>
        </w:tc>
      </w:tr>
      <w:tr>
        <w:tc>
          <w:tcPr>
            <w:tcW w:type="dxa" w:w="3312"/>
            <w:tcMar>
              <w:top w:w="100" w:type="dxa"/>
              <w:start w:w="130" w:type="dxa"/>
              <w:bottom w:w="100" w:type="dxa"/>
              <w:end w:w="130" w:type="dxa"/>
            </w:tcMar>
          </w:tcPr>
          <w:p>
            <w:r>
              <w:rPr>
                <w:sz w:val="18"/>
              </w:rPr>
              <w:t>Target predictions/reference</w:t>
            </w:r>
          </w:p>
        </w:tc>
        <w:tc>
          <w:tcPr>
            <w:tcW w:type="dxa" w:w="3312"/>
            <w:tcMar>
              <w:top w:w="100" w:type="dxa"/>
              <w:start w:w="130" w:type="dxa"/>
              <w:bottom w:w="100" w:type="dxa"/>
              <w:end w:w="130" w:type="dxa"/>
            </w:tcMar>
          </w:tcPr>
          <w:p>
            <w:r>
              <w:rPr>
                <w:sz w:val="18"/>
              </w:rPr>
              <w:t>CSV / TSV / FASTA</w:t>
            </w:r>
          </w:p>
        </w:tc>
        <w:tc>
          <w:tcPr>
            <w:tcW w:type="dxa" w:w="3312"/>
            <w:tcMar>
              <w:top w:w="100" w:type="dxa"/>
              <w:start w:w="130" w:type="dxa"/>
              <w:bottom w:w="100" w:type="dxa"/>
              <w:end w:w="130" w:type="dxa"/>
            </w:tcMar>
          </w:tcPr>
          <w:p>
            <w:r>
              <w:rPr>
                <w:sz w:val="18"/>
              </w:rPr>
              <w:t>Follow the column and sequence requirements shown in the interface.</w:t>
            </w:r>
          </w:p>
        </w:tc>
      </w:tr>
    </w:tbl>
    <w:p/>
    <w:p>
      <w:pPr>
        <w:pStyle w:val="Heading1"/>
      </w:pPr>
      <w:r>
        <w:t>5. Analysis workflow</w:t>
      </w:r>
    </w:p>
    <w:p>
      <w:pPr/>
      <w:r>
        <w:t>1.  Upload the genome, OMV reads, and matching host-cell data in Data Import and QC. Mark reads as processed only when preprocessing has actually been completed.</w:t>
      </w:r>
    </w:p>
    <w:p>
      <w:pPr/>
      <w:r>
        <w:t>2.  In Genome tRNA Scan, select an assembly and an imported annotation, or run local tRNAscan-SE. For strain comparisons, complete each scan first.</w:t>
      </w:r>
    </w:p>
    <w:p>
      <w:pPr/>
      <w:r>
        <w:t>3.  In OMV tsRNA Screening, select the tRNA result and reads from the same strain, set fragment-length and CCA options, and run screening.</w:t>
      </w:r>
    </w:p>
    <w:p>
      <w:pPr/>
      <w:r>
        <w:t>4.  In Host Transcriptome, select one or more custom-named cell lines, set FDR and log2FC thresholds, and compare expression results.</w:t>
      </w:r>
    </w:p>
    <w:p>
      <w:pPr/>
      <w:r>
        <w:t>5.  In Candidate Integration, link OMV results, host comparisons, and a target source to rank candidates. The Sequence Matching page can search a local FASTA with exact matching or BLAST+.</w:t>
      </w:r>
    </w:p>
    <w:p>
      <w:pPr>
        <w:pStyle w:val="Heading1"/>
      </w:pPr>
      <w:r>
        <w:t>6. Results and scientific limits</w:t>
      </w:r>
    </w:p>
    <w:p>
      <w:r>
        <w:t>The Results page provides tables and CSV, SVG, and DOCX exports. Predicted tRNA loci, sequence matches, target predictions, and evidence scores are computational outputs. Review study design, replicates, controls, and parameters, then validate vesicle localization and regulatory mechanisms experimentally. A missing optional tool disables only the corresponding operation.</w:t>
      </w:r>
    </w:p>
    <w:p>
      <w:pPr>
        <w:pStyle w:val="Heading1"/>
      </w:pPr>
      <w:r>
        <w:t>7. Troubleshooting</w:t>
      </w:r>
    </w:p>
    <w:p>
      <w:r>
        <w:rPr>
          <w:b/>
        </w:rPr>
        <w:t>macOS cannot open the app (Gatekeeper block)</w:t>
      </w:r>
    </w:p>
    <w:p>
      <w:r>
        <w:rPr>
          <w:b w:val="0"/>
        </w:rPr>
        <w:t>Symptoms: “cannot be opened because Apple cannot check it for malicious software”, “cannot verify the developer”, or “is damaged and cannot be opened”.</w:t>
      </w:r>
    </w:p>
    <w:p>
      <w:r>
        <w:rPr>
          <w:b w:val="0"/>
        </w:rPr>
        <w:t>Cause: files downloaded from GitHub carry a macOS quarantine attribute, so the first launch is blocked by Gatekeeper.</w:t>
      </w:r>
    </w:p>
    <w:p>
      <w:r>
        <w:rPr>
          <w:b w:val="0"/>
        </w:rPr>
        <w:t>Fix (choose one): ① Right-click (or Control-click) Sequence-Evidence-Workbench.app → Open → click Open in the dialog; ② Open System Settings → Privacy &amp; Security → Security, then click Open Anyway (Allow Anyway); ③ If it still will not open, run in Terminal: xattr -dr com.apple.quarantine "/path/to/Sequence-Evidence-Workbench.app" (e.g. xattr -dr com.apple.quarantine ~/Downloads/Sequence-Evidence-Workbench.app); ④ If it says “damaged”, run the same command, then double-click to launch again.</w:t>
      </w:r>
    </w:p>
    <w:p>
      <w:r>
        <w:rPr>
          <w:b w:val="0"/>
        </w:rPr>
        <w:t>Note: apply this only when macOS blocks the app; clearing the quarantine attribute affects only your machine. If double-clicking Launch-Workbench.command does nothing, right-click it and choose Open.</w:t>
      </w: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17365D"/>
            <w:tcMar>
              <w:top w:w="100" w:type="dxa"/>
              <w:start w:w="130" w:type="dxa"/>
              <w:bottom w:w="100" w:type="dxa"/>
              <w:end w:w="130" w:type="dxa"/>
            </w:tcMar>
          </w:tcPr>
          <w:p>
            <w:r>
              <w:rPr>
                <w:b/>
                <w:color w:val="FFFFFF"/>
                <w:sz w:val="18"/>
              </w:rPr>
              <w:t>Issue</w:t>
            </w:r>
          </w:p>
        </w:tc>
        <w:tc>
          <w:tcPr>
            <w:tcW w:type="dxa" w:w="4968"/>
            <w:shd w:fill="17365D"/>
            <w:tcMar>
              <w:top w:w="100" w:type="dxa"/>
              <w:start w:w="130" w:type="dxa"/>
              <w:bottom w:w="100" w:type="dxa"/>
              <w:end w:w="130" w:type="dxa"/>
            </w:tcMar>
          </w:tcPr>
          <w:p>
            <w:r>
              <w:rPr>
                <w:b/>
                <w:color w:val="FFFFFF"/>
                <w:sz w:val="18"/>
              </w:rPr>
              <w:t>What to check</w:t>
            </w:r>
          </w:p>
        </w:tc>
      </w:tr>
      <w:tr>
        <w:tc>
          <w:tcPr>
            <w:tcW w:type="dxa" w:w="4968"/>
            <w:tcMar>
              <w:top w:w="100" w:type="dxa"/>
              <w:start w:w="130" w:type="dxa"/>
              <w:bottom w:w="100" w:type="dxa"/>
              <w:end w:w="130" w:type="dxa"/>
            </w:tcMar>
          </w:tcPr>
          <w:p>
            <w:r>
              <w:rPr>
                <w:sz w:val="18"/>
              </w:rPr>
              <w:t>Page does not load</w:t>
            </w:r>
          </w:p>
        </w:tc>
        <w:tc>
          <w:tcPr>
            <w:tcW w:type="dxa" w:w="4968"/>
            <w:tcMar>
              <w:top w:w="100" w:type="dxa"/>
              <w:start w:w="130" w:type="dxa"/>
              <w:bottom w:w="100" w:type="dxa"/>
              <w:end w:w="130" w:type="dxa"/>
            </w:tcMar>
          </w:tcPr>
          <w:p>
            <w:r>
              <w:rPr>
                <w:sz w:val="18"/>
              </w:rPr>
              <w:t>Keep the server terminal running and use the exact port it printed.</w:t>
            </w:r>
          </w:p>
        </w:tc>
      </w:tr>
      <w:tr>
        <w:tc>
          <w:tcPr>
            <w:tcW w:type="dxa" w:w="4968"/>
            <w:tcMar>
              <w:top w:w="100" w:type="dxa"/>
              <w:start w:w="130" w:type="dxa"/>
              <w:bottom w:w="100" w:type="dxa"/>
              <w:end w:w="130" w:type="dxa"/>
            </w:tcMar>
          </w:tcPr>
          <w:p>
            <w:r>
              <w:rPr>
                <w:sz w:val="18"/>
              </w:rPr>
              <w:t>Unsupported Node version</w:t>
            </w:r>
          </w:p>
        </w:tc>
        <w:tc>
          <w:tcPr>
            <w:tcW w:type="dxa" w:w="4968"/>
            <w:tcMar>
              <w:top w:w="100" w:type="dxa"/>
              <w:start w:w="130" w:type="dxa"/>
              <w:bottom w:w="100" w:type="dxa"/>
              <w:end w:w="130" w:type="dxa"/>
            </w:tcMar>
          </w:tcPr>
          <w:p>
            <w:r>
              <w:rPr>
                <w:sz w:val="18"/>
              </w:rPr>
              <w:t>Install Node.js 22 or later and restart the terminal.</w:t>
            </w:r>
          </w:p>
        </w:tc>
      </w:tr>
      <w:tr>
        <w:tc>
          <w:tcPr>
            <w:tcW w:type="dxa" w:w="4968"/>
            <w:tcMar>
              <w:top w:w="100" w:type="dxa"/>
              <w:start w:w="130" w:type="dxa"/>
              <w:bottom w:w="100" w:type="dxa"/>
              <w:end w:w="130" w:type="dxa"/>
            </w:tcMar>
          </w:tcPr>
          <w:p>
            <w:r>
              <w:rPr>
                <w:sz w:val="18"/>
              </w:rPr>
              <w:t>Optional tool missing</w:t>
            </w:r>
          </w:p>
        </w:tc>
        <w:tc>
          <w:tcPr>
            <w:tcW w:type="dxa" w:w="4968"/>
            <w:tcMar>
              <w:top w:w="100" w:type="dxa"/>
              <w:start w:w="130" w:type="dxa"/>
              <w:bottom w:w="100" w:type="dxa"/>
              <w:end w:w="130" w:type="dxa"/>
            </w:tcMar>
          </w:tcPr>
          <w:p>
            <w:r>
              <w:rPr>
                <w:sz w:val="18"/>
              </w:rPr>
              <w:t>Install the program and make sure it is on PATH, or import external tRNAscan-SE output.</w:t>
            </w:r>
          </w:p>
        </w:tc>
      </w:tr>
      <w:tr>
        <w:tc>
          <w:tcPr>
            <w:tcW w:type="dxa" w:w="4968"/>
            <w:tcMar>
              <w:top w:w="100" w:type="dxa"/>
              <w:start w:w="130" w:type="dxa"/>
              <w:bottom w:w="100" w:type="dxa"/>
              <w:end w:w="130" w:type="dxa"/>
            </w:tcMar>
          </w:tcPr>
          <w:p>
            <w:r>
              <w:rPr>
                <w:sz w:val="18"/>
              </w:rPr>
              <w:t>Workspace appears empty</w:t>
            </w:r>
          </w:p>
        </w:tc>
        <w:tc>
          <w:tcPr>
            <w:tcW w:type="dxa" w:w="4968"/>
            <w:tcMar>
              <w:top w:w="100" w:type="dxa"/>
              <w:start w:w="130" w:type="dxa"/>
              <w:bottom w:w="100" w:type="dxa"/>
              <w:end w:w="130" w:type="dxa"/>
            </w:tcMar>
          </w:tcPr>
          <w:p>
            <w:r>
              <w:rPr>
                <w:sz w:val="18"/>
              </w:rPr>
              <w:t>Check whether WORKBENCH_DATA_DIR points to the same location used previously.</w:t>
            </w:r>
          </w:p>
        </w:tc>
      </w:tr>
      <w:tr>
        <w:tc>
          <w:tcPr>
            <w:tcW w:type="dxa" w:w="4968"/>
            <w:tcMar>
              <w:top w:w="100" w:type="dxa"/>
              <w:start w:w="130" w:type="dxa"/>
              <w:bottom w:w="100" w:type="dxa"/>
              <w:end w:w="130" w:type="dxa"/>
            </w:tcMar>
          </w:tcPr>
          <w:p>
            <w:r>
              <w:rPr>
                <w:sz w:val="18"/>
              </w:rPr>
              <w:t>Port already in use</w:t>
            </w:r>
          </w:p>
        </w:tc>
        <w:tc>
          <w:tcPr>
            <w:tcW w:type="dxa" w:w="4968"/>
            <w:tcMar>
              <w:top w:w="100" w:type="dxa"/>
              <w:start w:w="130" w:type="dxa"/>
              <w:bottom w:w="100" w:type="dxa"/>
              <w:end w:w="130" w:type="dxa"/>
            </w:tcMar>
          </w:tcPr>
          <w:p>
            <w:r>
              <w:rPr>
                <w:sz w:val="18"/>
              </w:rPr>
              <w:t>Stop the process using it or set PORT to an available port.</w:t>
            </w:r>
          </w:p>
        </w:tc>
      </w:tr>
    </w:tbl>
    <w:p/>
    <w:sectPr w:rsidR="00FC693F" w:rsidRPr="0006063C" w:rsidSect="00034616">
      <w:footerReference w:type="default" r:id="rId9"/>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序证工作台  |  本地数据由使用者管理</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Hiragino Sans GB" w:hAnsi="Hiragino Sans GB" w:eastAsia="Hiragino Sans GB"/>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GB" w:hAnsi="Hiragino Sans GB" w:eastAsia="Hiragino Sans GB"/>
    </w:rPr>
  </w:style>
  <w:style w:type="character" w:customStyle="1" w:styleId="HeaderChar">
    <w:name w:val="Header Char"/>
    <w:basedOn w:val="DefaultParagraphFont"/>
    <w:link w:val="Header"/>
    <w:uiPriority w:val="99"/>
    <w:rsid w:val="00E618BF"/>
    <w:rPr>
      <w:rFonts w:ascii="Hiragino Sans GB" w:hAnsi="Hiragino Sans GB"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GB" w:hAnsi="Hiragino Sans GB" w:eastAsia="Hiragino Sans GB"/>
    </w:rPr>
  </w:style>
  <w:style w:type="character" w:customStyle="1" w:styleId="FooterChar">
    <w:name w:val="Footer Char"/>
    <w:basedOn w:val="DefaultParagraphFont"/>
    <w:link w:val="Footer"/>
    <w:uiPriority w:val="99"/>
    <w:rsid w:val="00E618BF"/>
    <w:rPr>
      <w:rFonts w:ascii="Hiragino Sans GB" w:hAnsi="Hiragino Sans GB"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GB" w:hAnsi="Hiragino Sans GB" w:eastAsia="Hiragino Sans GB"/>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GB" w:hAnsi="Hiragino Sans GB" w:eastAsia="Hiragino Sans GB"/>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GB" w:hAnsi="Hiragino Sans GB"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GB" w:hAnsi="Hiragino Sans GB"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GB" w:hAnsi="Hiragino Sans GB"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GB" w:hAnsi="Hiragino Sans GB"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GB" w:hAnsi="Hiragino Sans GB"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GB" w:hAnsi="Hiragino Sans GB"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GB" w:hAnsi="Hiragino Sans GB" w:eastAsia="Hiragino Sans GB"/>
    </w:rPr>
  </w:style>
  <w:style w:type="table" w:default="1" w:styleId="TableNormal">
    <w:name w:val="Normal Table"/>
    <w:uiPriority w:val="99"/>
    <w:semiHidden/>
    <w:unhideWhenUsed/>
    <w:rPr>
      <w:rFonts w:ascii="Hiragino Sans GB" w:hAnsi="Hiragino Sans GB"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GB" w:hAnsi="Hiragino Sans GB"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GB" w:hAnsi="Hiragino Sans GB"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GB" w:hAnsi="Hiragino Sans GB"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GB" w:hAnsi="Hiragino Sans GB" w:eastAsia="Hiragino Sans GB"/>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iragino Sans GB" w:hAnsi="Hiragino Sans GB" w:eastAsia="Hiragino Sans G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GB" w:hAnsi="Hiragino Sans GB"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GB" w:hAnsi="Hiragino Sans GB"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GB" w:hAnsi="Hiragino Sans GB"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GB" w:hAnsi="Hiragino Sans GB" w:eastAsia="Hiragino Sans GB"/>
    </w:r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rPr>
  </w:style>
  <w:style w:type="character" w:customStyle="1" w:styleId="BodyTextChar">
    <w:name w:val="Body Text Char"/>
    <w:basedOn w:val="DefaultParagraphFont"/>
    <w:link w:val="BodyText"/>
    <w:uiPriority w:val="99"/>
    <w:rsid w:val="00AA1D8D"/>
    <w:rPr>
      <w:rFonts w:ascii="Hiragino Sans GB" w:hAnsi="Hiragino Sans GB"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GB" w:hAnsi="Hiragino Sans GB" w:eastAsia="Hiragino Sans GB"/>
    </w:rPr>
  </w:style>
  <w:style w:type="character" w:customStyle="1" w:styleId="BodyText2Char">
    <w:name w:val="Body Text 2 Char"/>
    <w:basedOn w:val="DefaultParagraphFont"/>
    <w:link w:val="BodyText2"/>
    <w:uiPriority w:val="99"/>
    <w:rsid w:val="00AA1D8D"/>
    <w:rPr>
      <w:rFonts w:ascii="Hiragino Sans GB" w:hAnsi="Hiragino Sans GB" w:eastAsia="Hiragino Sans GB"/>
    </w:rPr>
  </w:style>
  <w:style w:type="paragraph" w:styleId="BodyText3">
    <w:name w:val="Body Text 3"/>
    <w:basedOn w:val="Normal"/>
    <w:link w:val="BodyText3Char"/>
    <w:uiPriority w:val="99"/>
    <w:unhideWhenUsed/>
    <w:rsid w:val="00AA1D8D"/>
    <w:pPr>
      <w:spacing w:after="120"/>
    </w:pPr>
    <w:rPr>
      <w:rFonts w:ascii="Hiragino Sans GB" w:hAnsi="Hiragino Sans GB" w:eastAsia="Hiragino Sans GB"/>
      <w:sz w:val="16"/>
      <w:szCs w:val="16"/>
    </w:rPr>
  </w:style>
  <w:style w:type="character" w:customStyle="1" w:styleId="BodyText3Char">
    <w:name w:val="Body Text 3 Char"/>
    <w:basedOn w:val="DefaultParagraphFont"/>
    <w:link w:val="BodyText3"/>
    <w:uiPriority w:val="99"/>
    <w:rsid w:val="00AA1D8D"/>
    <w:rPr>
      <w:rFonts w:ascii="Hiragino Sans GB" w:hAnsi="Hiragino Sans GB" w:eastAsia="Hiragino Sans GB"/>
      <w:sz w:val="16"/>
      <w:szCs w:val="16"/>
    </w:rPr>
  </w:style>
  <w:style w:type="paragraph" w:styleId="List">
    <w:name w:val="List"/>
    <w:basedOn w:val="Normal"/>
    <w:uiPriority w:val="99"/>
    <w:unhideWhenUsed/>
    <w:rsid w:val="00AA1D8D"/>
    <w:pPr>
      <w:ind w:left="360" w:hanging="360"/>
      <w:contextualSpacing/>
    </w:pPr>
    <w:rPr>
      <w:rFonts w:ascii="Hiragino Sans GB" w:hAnsi="Hiragino Sans GB" w:eastAsia="Hiragino Sans GB"/>
    </w:rPr>
  </w:style>
  <w:style w:type="paragraph" w:styleId="List2">
    <w:name w:val="List 2"/>
    <w:basedOn w:val="Normal"/>
    <w:uiPriority w:val="99"/>
    <w:unhideWhenUsed/>
    <w:rsid w:val="00326F90"/>
    <w:pPr>
      <w:ind w:left="720" w:hanging="360"/>
      <w:contextualSpacing/>
    </w:pPr>
    <w:rPr>
      <w:rFonts w:ascii="Hiragino Sans GB" w:hAnsi="Hiragino Sans GB" w:eastAsia="Hiragino Sans GB"/>
    </w:rPr>
  </w:style>
  <w:style w:type="paragraph" w:styleId="List3">
    <w:name w:val="List 3"/>
    <w:basedOn w:val="Normal"/>
    <w:uiPriority w:val="99"/>
    <w:unhideWhenUsed/>
    <w:rsid w:val="00326F90"/>
    <w:pPr>
      <w:ind w:left="1080" w:hanging="360"/>
      <w:contextualSpacing/>
    </w:pPr>
    <w:rPr>
      <w:rFonts w:ascii="Hiragino Sans GB" w:hAnsi="Hiragino Sans GB" w:eastAsia="Hiragino Sans GB"/>
    </w:r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rPr>
  </w:style>
  <w:style w:type="paragraph" w:styleId="ListBullet2">
    <w:name w:val="List Bullet 2"/>
    <w:basedOn w:val="Normal"/>
    <w:uiPriority w:val="99"/>
    <w:unhideWhenUsed/>
    <w:rsid w:val="00326F90"/>
    <w:pPr>
      <w:numPr>
        <w:numId w:val="2"/>
      </w:numPr>
      <w:contextualSpacing/>
    </w:pPr>
    <w:rPr>
      <w:rFonts w:ascii="Hiragino Sans GB" w:hAnsi="Hiragino Sans GB" w:eastAsia="Hiragino Sans GB"/>
    </w:rPr>
  </w:style>
  <w:style w:type="paragraph" w:styleId="ListBullet3">
    <w:name w:val="List Bullet 3"/>
    <w:basedOn w:val="Normal"/>
    <w:uiPriority w:val="99"/>
    <w:unhideWhenUsed/>
    <w:rsid w:val="00326F90"/>
    <w:pPr>
      <w:numPr>
        <w:numId w:val="3"/>
      </w:numPr>
      <w:contextualSpacing/>
    </w:pPr>
    <w:rPr>
      <w:rFonts w:ascii="Hiragino Sans GB" w:hAnsi="Hiragino Sans GB" w:eastAsia="Hiragino Sans GB"/>
    </w:rPr>
  </w:style>
  <w:style w:type="paragraph" w:styleId="ListNumber">
    <w:name w:val="List Number"/>
    <w:basedOn w:val="Normal"/>
    <w:uiPriority w:val="99"/>
    <w:unhideWhenUsed/>
    <w:rsid w:val="00326F90"/>
    <w:pPr>
      <w:numPr>
        <w:numId w:val="5"/>
      </w:numPr>
      <w:contextualSpacing/>
    </w:pPr>
    <w:rPr>
      <w:rFonts w:ascii="Hiragino Sans GB" w:hAnsi="Hiragino Sans GB" w:eastAsia="Hiragino Sans GB"/>
    </w:rPr>
  </w:style>
  <w:style w:type="paragraph" w:styleId="ListNumber2">
    <w:name w:val="List Number 2"/>
    <w:basedOn w:val="Normal"/>
    <w:uiPriority w:val="99"/>
    <w:unhideWhenUsed/>
    <w:rsid w:val="0029639D"/>
    <w:pPr>
      <w:numPr>
        <w:numId w:val="6"/>
      </w:numPr>
      <w:contextualSpacing/>
    </w:pPr>
    <w:rPr>
      <w:rFonts w:ascii="Hiragino Sans GB" w:hAnsi="Hiragino Sans GB" w:eastAsia="Hiragino Sans GB"/>
    </w:rPr>
  </w:style>
  <w:style w:type="paragraph" w:styleId="ListNumber3">
    <w:name w:val="List Number 3"/>
    <w:basedOn w:val="Normal"/>
    <w:uiPriority w:val="99"/>
    <w:unhideWhenUsed/>
    <w:rsid w:val="0029639D"/>
    <w:pPr>
      <w:numPr>
        <w:numId w:val="7"/>
      </w:numPr>
      <w:contextualSpacing/>
    </w:pPr>
    <w:rPr>
      <w:rFonts w:ascii="Hiragino Sans GB" w:hAnsi="Hiragino Sans GB" w:eastAsia="Hiragino Sans GB"/>
    </w:rPr>
  </w:style>
  <w:style w:type="paragraph" w:styleId="ListContinue">
    <w:name w:val="List Continue"/>
    <w:basedOn w:val="Normal"/>
    <w:uiPriority w:val="99"/>
    <w:unhideWhenUsed/>
    <w:rsid w:val="0029639D"/>
    <w:pPr>
      <w:spacing w:after="120"/>
      <w:ind w:left="360"/>
      <w:contextualSpacing/>
    </w:pPr>
    <w:rPr>
      <w:rFonts w:ascii="Hiragino Sans GB" w:hAnsi="Hiragino Sans GB" w:eastAsia="Hiragino Sans GB"/>
    </w:rPr>
  </w:style>
  <w:style w:type="paragraph" w:styleId="ListContinue2">
    <w:name w:val="List Continue 2"/>
    <w:basedOn w:val="Normal"/>
    <w:uiPriority w:val="99"/>
    <w:unhideWhenUsed/>
    <w:rsid w:val="0029639D"/>
    <w:pPr>
      <w:spacing w:after="120"/>
      <w:ind w:left="720"/>
      <w:contextualSpacing/>
    </w:pPr>
    <w:rPr>
      <w:rFonts w:ascii="Hiragino Sans GB" w:hAnsi="Hiragino Sans GB" w:eastAsia="Hiragino Sans GB"/>
    </w:rPr>
  </w:style>
  <w:style w:type="paragraph" w:styleId="ListContinue3">
    <w:name w:val="List Continue 3"/>
    <w:basedOn w:val="Normal"/>
    <w:uiPriority w:val="99"/>
    <w:unhideWhenUsed/>
    <w:rsid w:val="0029639D"/>
    <w:pPr>
      <w:spacing w:after="120"/>
      <w:ind w:left="1080"/>
      <w:contextualSpacing/>
    </w:pPr>
    <w:rPr>
      <w:rFonts w:ascii="Hiragino Sans GB" w:hAnsi="Hiragino Sans GB"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sz w:val="20"/>
      <w:szCs w:val="20"/>
    </w:rPr>
  </w:style>
  <w:style w:type="paragraph" w:styleId="Quote">
    <w:name w:val="Quote"/>
    <w:basedOn w:val="Normal"/>
    <w:next w:val="Normal"/>
    <w:link w:val="QuoteChar"/>
    <w:uiPriority w:val="29"/>
    <w:qFormat/>
    <w:rsid w:val="00FC693F"/>
    <w:rPr>
      <w:rFonts w:ascii="Hiragino Sans GB" w:hAnsi="Hiragino Sans GB" w:eastAsia="Hiragino Sans GB"/>
      <w:i/>
      <w:iCs/>
      <w:color w:val="000000" w:themeColor="text1"/>
    </w:rPr>
  </w:style>
  <w:style w:type="character" w:customStyle="1" w:styleId="QuoteChar">
    <w:name w:val="Quote Char"/>
    <w:basedOn w:val="DefaultParagraphFont"/>
    <w:link w:val="Quote"/>
    <w:uiPriority w:val="29"/>
    <w:rsid w:val="00FC693F"/>
    <w:rPr>
      <w:rFonts w:ascii="Hiragino Sans GB" w:hAnsi="Hiragino Sans GB"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GB" w:hAnsi="Hiragino Sans GB"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GB" w:hAnsi="Hiragino Sans GB"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GB" w:hAnsi="Hiragino Sans GB"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GB" w:hAnsi="Hiragino Sans GB"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GB" w:hAnsi="Hiragino Sans GB"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GB" w:hAnsi="Hiragino Sans GB"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b/>
      <w:bCs/>
      <w:color w:val="4F81BD" w:themeColor="accent1"/>
      <w:sz w:val="18"/>
      <w:szCs w:val="18"/>
    </w:rPr>
  </w:style>
  <w:style w:type="character" w:styleId="Strong">
    <w:name w:val="Strong"/>
    <w:basedOn w:val="DefaultParagraphFont"/>
    <w:uiPriority w:val="22"/>
    <w:qFormat/>
    <w:rsid w:val="00FC693F"/>
    <w:rPr>
      <w:rFonts w:ascii="Hiragino Sans GB" w:hAnsi="Hiragino Sans GB" w:eastAsia="Hiragino Sans GB"/>
      <w:b/>
      <w:bCs/>
    </w:rPr>
  </w:style>
  <w:style w:type="character" w:styleId="Emphasis">
    <w:name w:val="Emphasis"/>
    <w:basedOn w:val="DefaultParagraphFont"/>
    <w:uiPriority w:val="20"/>
    <w:qFormat/>
    <w:rsid w:val="00FC693F"/>
    <w:rPr>
      <w:rFonts w:ascii="Hiragino Sans GB" w:hAnsi="Hiragino Sans GB" w:eastAsia="Hiragino Sans GB"/>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Hiragino Sans GB" w:hAnsi="Hiragino Sans GB"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GB" w:hAnsi="Hiragino Sans GB" w:eastAsia="Hiragino Sans GB"/>
      <w:b/>
      <w:bCs/>
      <w:i/>
      <w:iCs/>
      <w:color w:val="4F81BD" w:themeColor="accent1"/>
    </w:rPr>
  </w:style>
  <w:style w:type="character" w:styleId="SubtleEmphasis">
    <w:name w:val="Subtle Emphasis"/>
    <w:basedOn w:val="DefaultParagraphFont"/>
    <w:uiPriority w:val="19"/>
    <w:qFormat/>
    <w:rsid w:val="00FC693F"/>
    <w:rPr>
      <w:rFonts w:ascii="Hiragino Sans GB" w:hAnsi="Hiragino Sans GB"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GB" w:hAnsi="Hiragino Sans GB" w:eastAsia="Hiragino Sans GB"/>
      <w:b/>
      <w:bCs/>
      <w:i/>
      <w:iCs/>
      <w:color w:val="4F81BD" w:themeColor="accent1"/>
    </w:rPr>
  </w:style>
  <w:style w:type="character" w:styleId="SubtleReference">
    <w:name w:val="Subtle Reference"/>
    <w:basedOn w:val="DefaultParagraphFont"/>
    <w:uiPriority w:val="31"/>
    <w:qFormat/>
    <w:rsid w:val="00FC693F"/>
    <w:rPr>
      <w:rFonts w:ascii="Hiragino Sans GB" w:hAnsi="Hiragino Sans GB"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GB" w:hAnsi="Hiragino Sans GB"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GB" w:hAnsi="Hiragino Sans GB"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GB" w:hAnsi="Hiragino Sans GB" w:eastAsia="Hiragino Sans GB"/>
    </w:rPr>
  </w:style>
  <w:style w:type="table" w:styleId="TableGrid">
    <w:name w:val="Table Grid"/>
    <w:basedOn w:val="TableNormal"/>
    <w:uiPriority w:val="59"/>
    <w:rsid w:val="00FC693F"/>
    <w:pPr>
      <w:spacing w:after="0" w:line="240" w:lineRule="auto"/>
    </w:pPr>
    <w:rPr>
      <w:rFonts w:ascii="Hiragino Sans GB" w:hAnsi="Hiragino Sans GB"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GB" w:hAnsi="Hiragino Sans GB"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GB" w:hAnsi="Hiragino Sans GB"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GB" w:hAnsi="Hiragino Sans GB"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GB" w:hAnsi="Hiragino Sans GB"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GB" w:hAnsi="Hiragino Sans GB"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GB" w:hAnsi="Hiragino Sans GB"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GB" w:hAnsi="Hiragino Sans GB"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GB" w:hAnsi="Hiragino Sans GB"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GB" w:hAnsi="Hiragino Sans GB"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download" TargetMode="External"/><Relationship Id="rId11" Type="http://schemas.openxmlformats.org/officeDocument/2006/relationships/hyperlink" Target="https://www.bioinformatics.babraham.ac.uk/projects/fastqc/" TargetMode="External"/><Relationship Id="rId12" Type="http://schemas.openxmlformats.org/officeDocument/2006/relationships/hyperlink" Target="https://cutadapt.readthedocs.io/en/latest/installation.html" TargetMode="External"/><Relationship Id="rId13" Type="http://schemas.openxmlformats.org/officeDocument/2006/relationships/hyperlink" Target="https://lowelab.ucsc.edu/tRNAscan-SE/" TargetMode="External"/><Relationship Id="rId14" Type="http://schemas.openxmlformats.org/officeDocument/2006/relationships/hyperlink" Target="https://ftp.ncbi.nlm.nih.gov/blast/executables/blast+/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