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THeiti" w:hAnsi="STHeiti" w:eastAsia="STHeiti"/>
        </w:rPr>
        <w:t>序证工作台用户使用手册</w:t>
      </w:r>
    </w:p>
    <w:p>
      <w:pPr>
        <w:spacing w:after="280"/>
      </w:pPr>
      <w:r>
        <w:rPr>
          <w:rFonts w:ascii="STHeiti" w:hAnsi="STHeiti" w:eastAsia="STHeiti"/>
          <w:color w:val="465A6E"/>
          <w:sz w:val="22"/>
        </w:rPr>
        <w:t>安装、首次启动、数据导入、分析与结果导出  |  GitHub 开源发布版</w:t>
      </w:r>
    </w:p>
    <w:p>
      <w:r>
        <w:rPr>
          <w:rFonts w:ascii="STHeiti" w:hAnsi="STHeiti" w:eastAsia="STHeiti"/>
        </w:rPr>
        <w:t>本手册说明如何在个人电脑运行序证工作台并完成常见分析。应用默认只监听本机端口，导入文件、数据库和分析结果保存在本机目录。首次启动后，先确认工作台空白状态正常，再导入自己的数据。</w:t>
      </w:r>
    </w:p>
    <w:p>
      <w:pPr>
        <w:pStyle w:val="Heading1"/>
      </w:pPr>
      <w:r>
        <w:rPr>
          <w:rFonts w:ascii="STHeiti" w:hAnsi="STHeiti" w:eastAsia="STHeiti"/>
        </w:rPr>
        <w:t>1. 系统要求与安装</w:t>
      </w:r>
    </w:p>
    <w:p>
      <w:pPr>
        <w:pStyle w:val="ListBullet"/>
      </w:pPr>
      <w:r>
        <w:rPr>
          <w:rFonts w:ascii="STHeiti" w:hAnsi="STHeiti" w:eastAsia="STHeiti"/>
        </w:rPr>
        <w:t>macOS 或 Windows；Node.js 22 或更新版本，以及 npm。</w:t>
      </w:r>
    </w:p>
    <w:p>
      <w:pPr>
        <w:pStyle w:val="ListBullet"/>
      </w:pPr>
      <w:r>
        <w:rPr>
          <w:rFonts w:ascii="STHeiti" w:hAnsi="STHeiti" w:eastAsia="STHeiti"/>
        </w:rPr>
        <w:t>可选外部工具：FastQC、Cutadapt、tRNAscan-SE、BLAST+。只有运行对应步骤时才需要安装；项目不会随仓库捆绑这些程序。</w:t>
      </w:r>
    </w:p>
    <w:p>
      <w:pPr>
        <w:pStyle w:val="ListBullet"/>
      </w:pPr>
      <w:r>
        <w:rPr>
          <w:rFonts w:ascii="STHeiti" w:hAnsi="STHeiti" w:eastAsia="STHeiti"/>
        </w:rPr>
        <w:t>从 GitHub 下载 ZIP 并解压，或使用 Git 克隆仓库。保持整个项目文件夹完整。</w:t>
      </w:r>
    </w:p>
    <w:p>
      <w:pPr>
        <w:pStyle w:val="Heading1"/>
      </w:pPr>
      <w:r>
        <w:rPr>
          <w:rFonts w:ascii="STHeiti" w:hAnsi="STHeiti" w:eastAsia="STHeiti"/>
        </w:rPr>
        <w:t>2. 首次启动</w:t>
      </w:r>
    </w:p>
    <w:p>
      <w:pPr/>
      <w:r>
        <w:rPr>
          <w:rFonts w:ascii="STHeiti" w:hAnsi="STHeiti" w:eastAsia="STHeiti"/>
        </w:rPr>
        <w:t>1.  macOS 双击“序证工作台.app”或“ 双击打开序证工作台.command”；Windows 双击“双击打开序证工作台_Windows.bat”。</w:t>
      </w:r>
    </w:p>
    <w:p>
      <w:pPr/>
      <w:r>
        <w:rPr>
          <w:rFonts w:ascii="STHeiti" w:hAnsi="STHeiti" w:eastAsia="STHeiti"/>
        </w:rPr>
        <w:t>2.  如使用命令行，在项目目录运行 `npm install`，完成后运行 `npm start`。</w:t>
      </w:r>
    </w:p>
    <w:p>
      <w:pPr/>
      <w:r>
        <w:rPr>
          <w:rFonts w:ascii="STHeiti" w:hAnsi="STHeiti" w:eastAsia="STHeiti"/>
        </w:rPr>
        <w:t>3.  浏览器访问终端显示的本机地址，默认 `http://localhost:8817/`。启动终端保持打开；按 Ctrl+C 停止服务。</w:t>
      </w:r>
    </w:p>
    <w:p>
      <w:pPr/>
      <w:r>
        <w:rPr>
          <w:rFonts w:ascii="STHeiti" w:hAnsi="STHeiti" w:eastAsia="STHeiti"/>
        </w:rPr>
        <w:t>4.  首次启动应显示工作台概览、空的项目资产清单和待执行的分析阶段。顶部工具状态显示可选工具是否可用。</w:t>
      </w:r>
    </w:p>
    <w:p>
      <w:pPr>
        <w:pStyle w:val="Heading1"/>
      </w:pPr>
      <w:r>
        <w:rPr>
          <w:rFonts w:ascii="STHeiti" w:hAnsi="STHeiti" w:eastAsia="STHeiti"/>
        </w:rPr>
        <w:t>3. 数据目录与隐私</w:t>
      </w:r>
    </w:p>
    <w:p>
      <w:r>
        <w:rPr>
          <w:rFonts w:ascii="STHeiti" w:hAnsi="STHeiti" w:eastAsia="STHeiti"/>
        </w:rPr>
        <w:t>默认数据目录是项目目录的 data/。切换数据目录前先停止服务，然后在启动命令前设置 WORKBENCH_DATA_DIR；例如 macOS/Linux：</w:t>
      </w:r>
    </w:p>
    <w:p>
      <w:r>
        <w:rPr>
          <w:rFonts w:ascii="STHeiti" w:hAnsi="STHeiti" w:eastAsia="STHeiti"/>
        </w:rPr>
        <w:t>WORKBENCH_DATA_DIR=/绝对路径/我的项目数据 npm start</w:t>
      </w:r>
    </w:p>
    <w:p>
      <w:r>
        <w:rPr>
          <w:rFonts w:ascii="STHeiti" w:hAnsi="STHeiti" w:eastAsia="STHeiti"/>
        </w:rPr>
        <w:t>Windows PowerShell 示例：$env:WORKBENCH_DATA_DIR="D:\序证数据"; npm start。目录会自动创建。数据库、上传文件、缓存和中间结果均可能含敏感信息；请勿上传到公开仓库，并按机构要求备份或删除。</w:t>
      </w:r>
    </w:p>
    <w:p>
      <w:pPr>
        <w:pStyle w:val="Heading1"/>
      </w:pPr>
      <w:r>
        <w:rPr>
          <w:rFonts w:ascii="STHeiti" w:hAnsi="STHeiti" w:eastAsia="STHeiti"/>
        </w:rPr>
        <w:t>4. 导入数据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输入类型</w:t>
            </w:r>
          </w:p>
        </w:tc>
        <w:tc>
          <w:tcPr>
            <w:tcW w:type="dxa" w:w="3312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支持格式</w:t>
            </w:r>
          </w:p>
        </w:tc>
        <w:tc>
          <w:tcPr>
            <w:tcW w:type="dxa" w:w="3312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细菌基因组</w:t>
            </w:r>
          </w:p>
        </w:tc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.fa / .fasta / .fna</w:t>
            </w:r>
          </w:p>
        </w:tc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FASTA 标题应唯一，序列使用 IUPAC 核苷酸字符。</w:t>
            </w:r>
          </w:p>
        </w:tc>
      </w:tr>
      <w:tr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OMV small RNA</w:t>
            </w:r>
          </w:p>
        </w:tc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FASTQ / FASTQ.GZ / FASTA / CSV / TSV</w:t>
            </w:r>
          </w:p>
        </w:tc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关联来源菌株；说明是否已去接头、质控和过滤。</w:t>
            </w:r>
          </w:p>
        </w:tc>
      </w:tr>
      <w:tr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宿主差异表达表</w:t>
            </w:r>
          </w:p>
        </w:tc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CSV / TSV</w:t>
            </w:r>
          </w:p>
        </w:tc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包含基因标识、log2FoldChange 和 FDR/padj 等列；每个细胞系单独命名。</w:t>
            </w:r>
          </w:p>
        </w:tc>
      </w:tr>
      <w:tr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tRNA 注释</w:t>
            </w:r>
          </w:p>
        </w:tc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.out / .txt</w:t>
            </w:r>
          </w:p>
        </w:tc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可以导入 tRNAscan-SE 输出，免去本机运行该工具。</w:t>
            </w:r>
          </w:p>
        </w:tc>
      </w:tr>
      <w:tr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靶点预测/参考序列</w:t>
            </w:r>
          </w:p>
        </w:tc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CSV / TSV / FASTA</w:t>
            </w:r>
          </w:p>
        </w:tc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按页面提示提供列名或序列。</w:t>
            </w:r>
          </w:p>
        </w:tc>
      </w:tr>
    </w:tbl>
    <w:p/>
    <w:p>
      <w:pPr>
        <w:pStyle w:val="Heading1"/>
      </w:pPr>
      <w:r>
        <w:rPr>
          <w:rFonts w:ascii="STHeiti" w:hAnsi="STHeiti" w:eastAsia="STHeiti"/>
        </w:rPr>
        <w:t>5. 分析流程</w:t>
      </w:r>
    </w:p>
    <w:p>
      <w:pPr/>
      <w:r>
        <w:rPr>
          <w:rFonts w:ascii="STHeiti" w:hAnsi="STHeiti" w:eastAsia="STHeiti"/>
        </w:rPr>
        <w:t>1.  在“数据导入与质控”页上传基因组、OMV reads 和相应宿主数据。只有样本确实完成预处理时，才将状态标记为已确认。</w:t>
      </w:r>
    </w:p>
    <w:p>
      <w:pPr/>
      <w:r>
        <w:rPr>
          <w:rFonts w:ascii="STHeiti" w:hAnsi="STHeiti" w:eastAsia="STHeiti"/>
        </w:rPr>
        <w:t>2.  在“基因组 tRNA 扫描”页选择基因组和外部注释，或调用本机 tRNAscan-SE；多菌株比较需先分别完成扫描。</w:t>
      </w:r>
    </w:p>
    <w:p>
      <w:pPr/>
      <w:r>
        <w:rPr>
          <w:rFonts w:ascii="STHeiti" w:hAnsi="STHeiti" w:eastAsia="STHeiti"/>
        </w:rPr>
        <w:t>3.  在“OMV tsRNA 筛选”页选择同菌株 tRNA 结果与 reads，设置片段长度范围和 CCA 匹配选项，开始筛选。</w:t>
      </w:r>
    </w:p>
    <w:p>
      <w:pPr/>
      <w:r>
        <w:rPr>
          <w:rFonts w:ascii="STHeiti" w:hAnsi="STHeiti" w:eastAsia="STHeiti"/>
        </w:rPr>
        <w:t>4.  在“宿主细胞转录组”页选择一个或多个自定义命名的细胞系，设置 FDR 与 log2FC 阈值并比较。</w:t>
      </w:r>
    </w:p>
    <w:p>
      <w:pPr/>
      <w:r>
        <w:rPr>
          <w:rFonts w:ascii="STHeiti" w:hAnsi="STHeiti" w:eastAsia="STHeiti"/>
        </w:rPr>
        <w:t>5.  在“候选 tsRNA 整合”页关联 OMV 结果、宿主比较结果和靶点来源，运行候选排序。需要时使用“序列比对工具”对本地 FASTA 做精确匹配或 BLAST+。</w:t>
      </w:r>
    </w:p>
    <w:p>
      <w:pPr>
        <w:pStyle w:val="Heading1"/>
      </w:pPr>
      <w:r>
        <w:rPr>
          <w:rFonts w:ascii="STHeiti" w:hAnsi="STHeiti" w:eastAsia="STHeiti"/>
        </w:rPr>
        <w:t>6. 结果与限制</w:t>
      </w:r>
    </w:p>
    <w:p>
      <w:r>
        <w:rPr>
          <w:rFonts w:ascii="STHeiti" w:hAnsi="STHeiti" w:eastAsia="STHeiti"/>
        </w:rPr>
        <w:t>结果页可查看分析表并导出 CSV、SVG 和 DOCX。tRNA 位点、序列匹配、靶点预测及证据分均属于计算结果；需检查样本设计、重复、阴性对照和参数，并通过独立实验确认囊泡定位及调控机制。FastQC、Cutadapt、tRNAscan-SE 或 BLAST+ 未安装时，对应操作会提示缺少工具。</w:t>
      </w:r>
    </w:p>
    <w:p>
      <w:pPr>
        <w:pStyle w:val="Heading1"/>
      </w:pPr>
      <w:r>
        <w:rPr>
          <w:rFonts w:ascii="STHeiti" w:hAnsi="STHeiti" w:eastAsia="STHeiti"/>
        </w:rPr>
        <w:t>7. 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4968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页面无法打开</w:t>
            </w:r>
          </w:p>
        </w:tc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确认终端仍在运行；查看实际端口；不要重复启动多个服务。</w:t>
            </w:r>
          </w:p>
        </w:tc>
      </w:tr>
      <w:tr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提示 Node 版本不支持</w:t>
            </w:r>
          </w:p>
        </w:tc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安装 Node.js 22+，关闭旧终端后重试。</w:t>
            </w:r>
          </w:p>
        </w:tc>
      </w:tr>
      <w:tr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可选工具显示缺失</w:t>
            </w:r>
          </w:p>
        </w:tc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安装对应命令行工具并确认其位于 PATH 中；或导入外部 tRNAscan-SE 结果。</w:t>
            </w:r>
          </w:p>
        </w:tc>
      </w:tr>
      <w:tr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数据看起来为空</w:t>
            </w:r>
          </w:p>
        </w:tc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检查当前 WORKBENCH_DATA_DIR 是否与上次启动相同。</w:t>
            </w:r>
          </w:p>
        </w:tc>
      </w:tr>
      <w:tr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端口占用</w:t>
            </w:r>
          </w:p>
        </w:tc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停止占用端口的本机服务，或使用 PORT 环境变量指定其他空闲端口。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37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8"/>
        <w:sz w:val="16"/>
      </w:rPr>
      <w:t>序证工作台  |  本地数据由使用者管理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STHeiti" w:hAnsi="STHeiti" w:eastAsia="STHeit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Hiragino Sans GB" w:hAnsi="Hiragino Sans GB" w:eastAsia="Hiragino Sans GB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Hiragino Sans GB" w:hAnsi="Hiragino Sans GB" w:eastAsia="Hiragino Sans 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Hiragino Sans GB" w:hAnsi="Hiragino Sans GB" w:eastAsia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Hiragino Sans GB" w:hAnsi="Hiragino Sans GB" w:eastAsia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Hiragino Sans GB" w:hAnsi="Hiragino Sans GB" w:eastAsia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Hiragino Sans GB" w:hAnsi="Hiragino Sans GB" w:eastAsia="Hiragino Sans GB"/>
    </w:rPr>
  </w:style>
  <w:style w:type="table" w:default="1" w:styleId="TableNormal">
    <w:name w:val="Normal Table"/>
    <w:uiPriority w:val="99"/>
    <w:semiHidden/>
    <w:unhideWhenUsed/>
    <w:rPr>
      <w:rFonts w:ascii="Hiragino Sans GB" w:hAnsi="Hiragino Sans GB" w:eastAsia="Hiragino Sans GB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Hiragino Sans GB" w:hAnsi="Hiragino Sans GB" w:eastAsia="Hiragino Sans GB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Hiragino Sans GB" w:hAnsi="Hiragino Sans GB" w:eastAsia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Hiragino Sans GB" w:hAnsi="Hiragino Sans GB" w:eastAsia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Hiragino Sans GB" w:hAnsi="Hiragino Sans GB" w:eastAsia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STHeiti" w:hAnsi="STHeiti" w:eastAsia="STHeit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Hiragino Sans GB" w:hAnsi="Hiragino Sans GB" w:eastAsia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Hiragino Sans GB" w:hAnsi="Hiragino Sans GB" w:eastAsia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Hiragino Sans GB" w:hAnsi="Hiragino Sans GB" w:eastAsia="Hiragino Sans GB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iragino Sans GB" w:hAnsi="Hiragino Sans GB" w:eastAsia="Hiragino Sans GB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Hiragino Sans GB" w:hAnsi="Hiragino Sans GB" w:eastAsia="Hiragino Sans GB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Hiragino Sans GB" w:hAnsi="Hiragino Sans GB" w:eastAsia="Hiragino Sans GB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Hiragino Sans GB" w:hAnsi="Hiragino Sans GB" w:eastAsia="Hiragino Sans GB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Hiragino Sans GB" w:hAnsi="Hiragino Sans GB" w:eastAsia="Hiragino Sans GB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Hiragino Sans GB" w:hAnsi="Hiragino Sans GB" w:eastAsia="Hiragino Sans GB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Hiragino Sans GB" w:hAnsi="Hiragino Sans GB" w:eastAsia="Hiragino Sans GB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Hiragino Sans GB" w:hAnsi="Hiragino Sans GB" w:eastAsia="Hiragino Sans GB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Hiragino Sans GB" w:hAnsi="Hiragino Sans GB" w:eastAsia="Hiragino Sans GB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iragino Sans GB" w:hAnsi="Hiragino Sans GB" w:eastAsia="Hiragino Sans GB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Hiragino Sans GB" w:hAnsi="Hiragino Sans GB" w:eastAsia="Hiragino Sans GB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Hiragino Sans GB" w:hAnsi="Hiragino Sans GB" w:eastAsia="Hiragino Sans GB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iragino Sans GB" w:hAnsi="Hiragino Sans GB" w:eastAsia="Hiragino Sans GB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Hiragino Sans GB" w:hAnsi="Hiragino Sans GB" w:eastAsia="Hiragino Sans GB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Hiragino Sans GB" w:hAnsi="Hiragino Sans GB" w:eastAsia="Hiragino Sans GB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Hiragino Sans GB" w:hAnsi="Hiragino Sans GB" w:eastAsia="Hiragino Sans GB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Hiragino Sans GB" w:hAnsi="Hiragino Sans GB" w:eastAsia="Hiragino Sans GB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Hiragino Sans GB" w:hAnsi="Hiragino Sans GB" w:eastAsia="Hiragino Sans GB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Hiragino Sans GB" w:hAnsi="Hiragino Sans GB" w:eastAsia="Hiragino Sans GB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Hiragino Sans GB" w:hAnsi="Hiragino Sans GB" w:eastAsia="Hiragino Sans GB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iragino Sans GB" w:hAnsi="Hiragino Sans GB" w:eastAsia="Hiragino Sans GB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Hiragino Sans GB" w:hAnsi="Hiragino Sans GB" w:eastAsia="Hiragino Sans GB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Hiragino Sans GB" w:hAnsi="Hiragino Sans GB" w:eastAsia="Hiragino Sans GB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Hiragino Sans GB" w:hAnsi="Hiragino Sans GB" w:eastAsia="Hiragino Sans GB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Hiragino Sans GB" w:hAnsi="Hiragino Sans GB" w:eastAsia="Hiragino Sans GB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Hiragino Sans GB" w:hAnsi="Hiragino Sans GB" w:eastAsia="Hiragino Sans GB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Hiragino Sans GB" w:hAnsi="Hiragino Sans GB" w:eastAsia="Hiragino Sans GB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Hiragino Sans GB" w:hAnsi="Hiragino Sans GB" w:eastAsia="Hiragino Sans GB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Hiragino Sans GB" w:hAnsi="Hiragino Sans GB" w:eastAsia="Hiragino Sans GB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Hiragino Sans GB" w:hAnsi="Hiragino Sans GB" w:eastAsia="Hiragino Sans GB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Hiragino Sans GB" w:hAnsi="Hiragino Sans GB" w:eastAsia="Hiragino Sans GB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Hiragino Sans GB" w:hAnsi="Hiragino Sans GB" w:eastAsia="Hiragino Sans 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