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bidi w:val="0"/>
        <w:spacing w:lineRule="auto" w:line="331" w:before="0" w:after="0"/>
        <w:jc w:val="both"/>
        <w:rPr>
          <w:b/>
          <w:b/>
          <w:bCs/>
        </w:rPr>
      </w:pPr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  <w:t xml:space="preserve">Supplemental Table 1. List of linker reactions. </w:t>
      </w:r>
    </w:p>
    <w:p>
      <w:pPr>
        <w:pStyle w:val="TextBody"/>
        <w:bidi w:val="0"/>
        <w:spacing w:lineRule="auto" w:line="331" w:before="0" w:after="0"/>
        <w:jc w:val="both"/>
        <w:rPr/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  <w:t xml:space="preserve">Osmotic coefficient refers to whether or not the linker reaction contributes to osmolarity. a, Apoplast; gc, Guard cell; me, Mesophyll cell; p, Plastid; v, Vacuole; c, Cytosol. </w:t>
      </w:r>
    </w:p>
    <w:tbl>
      <w:tblPr>
        <w:tblW w:w="9875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245"/>
        <w:gridCol w:w="855"/>
        <w:gridCol w:w="1410"/>
        <w:gridCol w:w="6364"/>
      </w:tblGrid>
      <w:tr>
        <w:trPr>
          <w:trHeight w:val="256" w:hRule="atLeast"/>
        </w:trPr>
        <w:tc>
          <w:tcPr>
            <w:tcW w:w="124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center"/>
              <w:rPr/>
            </w:pPr>
            <w:r>
              <w:rPr/>
              <w:t>Osmotic Coefficient</w:t>
            </w:r>
          </w:p>
        </w:tc>
        <w:tc>
          <w:tcPr>
            <w:tcW w:w="85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center"/>
              <w:rPr/>
            </w:pPr>
            <w:r>
              <w:rPr/>
              <w:t>Cell</w:t>
            </w:r>
          </w:p>
        </w:tc>
        <w:tc>
          <w:tcPr>
            <w:tcW w:w="141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center"/>
              <w:rPr/>
            </w:pPr>
            <w:r>
              <w:rPr/>
              <w:t>Compartment</w:t>
            </w:r>
          </w:p>
        </w:tc>
        <w:tc>
          <w:tcPr>
            <w:tcW w:w="636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center"/>
              <w:rPr/>
            </w:pPr>
            <w:r>
              <w:rPr/>
              <w:t>Metabolites</w:t>
            </w:r>
          </w:p>
        </w:tc>
      </w:tr>
      <w:tr>
        <w:trPr>
          <w:trHeight w:val="256" w:hRule="atLeast"/>
        </w:trPr>
        <w:tc>
          <w:tcPr>
            <w:tcW w:w="1245" w:type="dxa"/>
            <w:vMerge w:val="restart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left"/>
              <w:rPr/>
            </w:pPr>
            <w:r>
              <w:rPr/>
              <w:t>0</w:t>
            </w:r>
          </w:p>
        </w:tc>
        <w:tc>
          <w:tcPr>
            <w:tcW w:w="855" w:type="dxa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left"/>
              <w:rPr/>
            </w:pPr>
            <w:r>
              <w:rPr/>
              <w:t>a</w:t>
            </w:r>
          </w:p>
        </w:tc>
        <w:tc>
          <w:tcPr>
            <w:tcW w:w="1410" w:type="dxa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left"/>
              <w:rPr/>
            </w:pPr>
            <w:r>
              <w:rPr/>
              <w:t>NA</w:t>
            </w:r>
          </w:p>
        </w:tc>
        <w:tc>
          <w:tcPr>
            <w:tcW w:w="6364" w:type="dxa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left"/>
              <w:rPr/>
            </w:pPr>
            <w:r>
              <w:rPr/>
              <w:t>Cl, Fructose, Glucose, K, Malate, Nitrate, Sucrose, aMalate</w:t>
            </w:r>
          </w:p>
        </w:tc>
      </w:tr>
      <w:tr>
        <w:trPr>
          <w:trHeight w:val="256" w:hRule="atLeast"/>
        </w:trPr>
        <w:tc>
          <w:tcPr>
            <w:tcW w:w="1245" w:type="dxa"/>
            <w:vMerge w:val="continue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left"/>
              <w:rPr/>
            </w:pPr>
            <w:r>
              <w:rPr/>
            </w:r>
          </w:p>
        </w:tc>
        <w:tc>
          <w:tcPr>
            <w:tcW w:w="855" w:type="dxa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left"/>
              <w:rPr/>
            </w:pPr>
            <w:r>
              <w:rPr/>
              <w:t>gc</w:t>
            </w:r>
          </w:p>
        </w:tc>
        <w:tc>
          <w:tcPr>
            <w:tcW w:w="1410" w:type="dxa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left"/>
              <w:rPr/>
            </w:pPr>
            <w:r>
              <w:rPr/>
              <w:t>p</w:t>
            </w:r>
          </w:p>
        </w:tc>
        <w:tc>
          <w:tcPr>
            <w:tcW w:w="6364" w:type="dxa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left"/>
              <w:rPr/>
            </w:pPr>
            <w:r>
              <w:rPr/>
              <w:t>Starch</w:t>
            </w:r>
          </w:p>
        </w:tc>
      </w:tr>
      <w:tr>
        <w:trPr>
          <w:trHeight w:val="256" w:hRule="atLeast"/>
        </w:trPr>
        <w:tc>
          <w:tcPr>
            <w:tcW w:w="1245" w:type="dxa"/>
            <w:vMerge w:val="continue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left"/>
              <w:rPr/>
            </w:pPr>
            <w:r>
              <w:rPr/>
            </w:r>
          </w:p>
        </w:tc>
        <w:tc>
          <w:tcPr>
            <w:tcW w:w="855" w:type="dxa"/>
            <w:vMerge w:val="restart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left"/>
              <w:rPr/>
            </w:pPr>
            <w:r>
              <w:rPr/>
              <w:t>me</w:t>
            </w:r>
          </w:p>
        </w:tc>
        <w:tc>
          <w:tcPr>
            <w:tcW w:w="1410" w:type="dxa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left"/>
              <w:rPr/>
            </w:pPr>
            <w:r>
              <w:rPr/>
              <w:t>p</w:t>
            </w:r>
          </w:p>
        </w:tc>
        <w:tc>
          <w:tcPr>
            <w:tcW w:w="6364" w:type="dxa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left"/>
              <w:rPr/>
            </w:pPr>
            <w:r>
              <w:rPr/>
              <w:t>Starch</w:t>
            </w:r>
          </w:p>
        </w:tc>
      </w:tr>
      <w:tr>
        <w:trPr>
          <w:trHeight w:val="256" w:hRule="atLeast"/>
        </w:trPr>
        <w:tc>
          <w:tcPr>
            <w:tcW w:w="1245" w:type="dxa"/>
            <w:vMerge w:val="continue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left"/>
              <w:rPr/>
            </w:pPr>
            <w:r>
              <w:rPr/>
            </w:r>
          </w:p>
        </w:tc>
        <w:tc>
          <w:tcPr>
            <w:tcW w:w="855" w:type="dxa"/>
            <w:vMerge w:val="continue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left"/>
              <w:rPr/>
            </w:pPr>
            <w:r>
              <w:rPr/>
            </w:r>
          </w:p>
        </w:tc>
        <w:tc>
          <w:tcPr>
            <w:tcW w:w="1410" w:type="dxa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left"/>
              <w:rPr/>
            </w:pPr>
            <w:r>
              <w:rPr/>
              <w:t>v</w:t>
            </w:r>
          </w:p>
        </w:tc>
        <w:tc>
          <w:tcPr>
            <w:tcW w:w="6364" w:type="dxa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left"/>
              <w:rPr/>
            </w:pPr>
            <w:r>
              <w:rPr/>
              <w:t>4_amino_butyrate, Arg, Asn, Citrate, Cys, Gln, Glt, Gly, His, Ile, Leu, Lys, L_alpha_alanine, L_aspartate, Malate, Met, Phe, Pro, Ser, Sucrose, Thr, Trp, Tyr, Val, aCitrate, aMalate, bHis</w:t>
            </w:r>
          </w:p>
        </w:tc>
      </w:tr>
      <w:tr>
        <w:trPr>
          <w:trHeight w:val="256" w:hRule="atLeast"/>
        </w:trPr>
        <w:tc>
          <w:tcPr>
            <w:tcW w:w="1245" w:type="dxa"/>
            <w:vMerge w:val="restart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left"/>
              <w:rPr/>
            </w:pPr>
            <w:r>
              <w:rPr/>
              <w:t>1</w:t>
            </w:r>
          </w:p>
        </w:tc>
        <w:tc>
          <w:tcPr>
            <w:tcW w:w="855" w:type="dxa"/>
            <w:vMerge w:val="restart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left"/>
              <w:rPr/>
            </w:pPr>
            <w:r>
              <w:rPr/>
              <w:t>gc</w:t>
            </w:r>
          </w:p>
        </w:tc>
        <w:tc>
          <w:tcPr>
            <w:tcW w:w="1410" w:type="dxa"/>
            <w:tcBorders/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left"/>
              <w:rPr/>
            </w:pPr>
            <w:r>
              <w:rPr/>
              <w:t>c</w:t>
            </w:r>
          </w:p>
        </w:tc>
        <w:tc>
          <w:tcPr>
            <w:tcW w:w="6364" w:type="dxa"/>
            <w:tcBorders/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left"/>
              <w:rPr/>
            </w:pPr>
            <w:r>
              <w:rPr/>
              <w:t>Citrate, Cl, Fructose, Glucose, K, Malate, Nitrate, Sucrose</w:t>
            </w:r>
          </w:p>
        </w:tc>
      </w:tr>
      <w:tr>
        <w:trPr>
          <w:trHeight w:val="1296" w:hRule="atLeast"/>
        </w:trPr>
        <w:tc>
          <w:tcPr>
            <w:tcW w:w="1245" w:type="dxa"/>
            <w:vMerge w:val="continue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left"/>
              <w:rPr/>
            </w:pPr>
            <w:r>
              <w:rPr/>
            </w:r>
          </w:p>
        </w:tc>
        <w:tc>
          <w:tcPr>
            <w:tcW w:w="855" w:type="dxa"/>
            <w:vMerge w:val="continue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left"/>
              <w:rPr/>
            </w:pPr>
            <w:r>
              <w:rPr/>
            </w:r>
          </w:p>
        </w:tc>
        <w:tc>
          <w:tcPr>
            <w:tcW w:w="1410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left"/>
              <w:rPr/>
            </w:pPr>
            <w:r>
              <w:rPr/>
              <w:t>v</w:t>
            </w:r>
          </w:p>
        </w:tc>
        <w:tc>
          <w:tcPr>
            <w:tcW w:w="6364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bidi w:val="0"/>
              <w:jc w:val="left"/>
              <w:rPr/>
            </w:pPr>
            <w:r>
              <w:rPr/>
              <w:t>4_amino_butyrate, Arg, Asn, Citrate, Cys, Cl, Fructose, Glucose, Gln, Glt, Gly, His, Ile, K, Leu, Lys, L_alpha_alanine, L_aspartate, Malate, Met, Nitrate, Phe, Pro, Ser, Sucrose, Thr, Trp, Tyr, Val, aCitrate, aMalate, bHis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TextBody"/>
        <w:bidi w:val="0"/>
        <w:spacing w:lineRule="auto" w:line="331" w:before="0" w:after="0"/>
        <w:jc w:val="both"/>
        <w:rPr>
          <w:b/>
          <w:b/>
          <w:bCs/>
        </w:rPr>
      </w:pPr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  <w:t xml:space="preserve">Supplemental Figure 1. </w:t>
      </w:r>
      <w:r>
        <w:rPr>
          <w:rFonts w:eastAsia="Noto Serif CJK SC" w:cs="Noto Sans Devanagari" w:ascii="Arial" w:hAnsi="Arial"/>
          <w:b/>
          <w:bCs/>
          <w:i w:val="false"/>
          <w:caps w:val="false"/>
          <w:smallCaps w:val="false"/>
          <w:strike w:val="false"/>
          <w:dstrike w:val="false"/>
          <w:color w:val="000000"/>
          <w:kern w:val="2"/>
          <w:sz w:val="22"/>
          <w:szCs w:val="24"/>
          <w:highlight w:val="white"/>
          <w:u w:val="none"/>
          <w:effect w:val="none"/>
          <w:lang w:val="en-GB" w:eastAsia="zh-CN" w:bidi="hi-IN"/>
        </w:rPr>
        <w:t>T</w:t>
      </w:r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  <w:t>ransfer metabolites and ions</w:t>
      </w:r>
    </w:p>
    <w:p>
      <w:pPr>
        <w:pStyle w:val="TextBody"/>
        <w:bidi w:val="0"/>
        <w:spacing w:lineRule="auto" w:line="331" w:before="0" w:after="0"/>
        <w:jc w:val="both"/>
        <w:rPr>
          <w:b/>
          <w:b/>
          <w:bCs/>
        </w:rPr>
      </w:pPr>
      <w:r>
        <w:rPr/>
        <w:t xml:space="preserve">The diagram shows one phase of the model. Transfer reactions occur between cell types, transport reactions occur between compartments within a cell, exchange reactions are uptake into and excretion from the model. </w:t>
      </w:r>
      <w:r>
        <w:rPr/>
        <w:t>For full details of implementation see Supplemental Code.</w:t>
      </w:r>
    </w:p>
    <w:p>
      <w:pPr>
        <w:pStyle w:val="TextBody"/>
        <w:bidi w:val="0"/>
        <w:spacing w:lineRule="auto" w:line="331" w:before="0" w:after="0"/>
        <w:jc w:val="both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635</wp:posOffset>
            </wp:positionH>
            <wp:positionV relativeFrom="paragraph">
              <wp:posOffset>23495</wp:posOffset>
            </wp:positionV>
            <wp:extent cx="6119495" cy="51625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331" w:before="0" w:after="0"/>
        <w:jc w:val="both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jc w:val="both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jc w:val="both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jc w:val="both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jc w:val="both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jc w:val="both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jc w:val="both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jc w:val="both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jc w:val="both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jc w:val="both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jc w:val="both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jc w:val="both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jc w:val="both"/>
        <w:rPr/>
      </w:pPr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  <w:t xml:space="preserve">Supplemental Figure 2. </w:t>
      </w:r>
      <w:r>
        <w:rPr>
          <w:rFonts w:eastAsia="Noto Serif CJK SC" w:cs="Noto Sans Devanagari" w:ascii="Arial" w:hAnsi="Arial"/>
          <w:b/>
          <w:bCs/>
          <w:i w:val="false"/>
          <w:caps w:val="false"/>
          <w:smallCaps w:val="false"/>
          <w:strike w:val="false"/>
          <w:dstrike w:val="false"/>
          <w:color w:val="000000"/>
          <w:kern w:val="2"/>
          <w:sz w:val="22"/>
          <w:szCs w:val="24"/>
          <w:highlight w:val="white"/>
          <w:u w:val="none"/>
          <w:effect w:val="none"/>
          <w:lang w:val="en-GB" w:eastAsia="zh-CN" w:bidi="hi-IN"/>
        </w:rPr>
        <w:t>T</w:t>
      </w:r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  <w:t xml:space="preserve">ransporters and channels </w:t>
      </w:r>
      <w:r>
        <w:rPr>
          <w:rFonts w:eastAsia="Noto Serif CJK SC" w:cs="Noto Sans Devanagari" w:ascii="Arial" w:hAnsi="Arial"/>
          <w:b/>
          <w:bCs/>
          <w:i w:val="false"/>
          <w:caps w:val="false"/>
          <w:smallCaps w:val="false"/>
          <w:strike w:val="false"/>
          <w:dstrike w:val="false"/>
          <w:color w:val="000000"/>
          <w:kern w:val="2"/>
          <w:sz w:val="22"/>
          <w:szCs w:val="24"/>
          <w:highlight w:val="white"/>
          <w:u w:val="none"/>
          <w:effect w:val="none"/>
          <w:lang w:val="en-GB" w:eastAsia="zh-CN" w:bidi="hi-IN"/>
        </w:rPr>
        <w:t>in</w:t>
      </w:r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  <w:t xml:space="preserve"> guard cell model</w:t>
      </w:r>
    </w:p>
    <w:p>
      <w:pPr>
        <w:pStyle w:val="TextBody"/>
        <w:bidi w:val="0"/>
        <w:spacing w:lineRule="auto" w:line="331" w:before="0" w:after="0"/>
        <w:jc w:val="both"/>
        <w:rPr/>
      </w:pPr>
      <w:r>
        <w:rPr/>
        <w:t>We combined t</w:t>
      </w:r>
      <w:r>
        <w:rPr/>
        <w:t xml:space="preserve">ransporters from three sources and incorporated </w:t>
      </w:r>
      <w:r>
        <w:rPr/>
        <w:t xml:space="preserve">them </w:t>
      </w:r>
      <w:r>
        <w:rPr/>
        <w:t>into the model if not already</w:t>
      </w:r>
    </w:p>
    <w:p>
      <w:pPr>
        <w:pStyle w:val="TextBody"/>
        <w:bidi w:val="0"/>
        <w:spacing w:lineRule="auto" w:line="331" w:before="0" w:after="0"/>
        <w:jc w:val="both"/>
        <w:rPr/>
      </w:pPr>
      <w:r>
        <w:rPr/>
        <w:t>present. Red crosses indicate transport reactions that were considered to be thermodynamically</w:t>
      </w:r>
    </w:p>
    <w:p>
      <w:pPr>
        <w:pStyle w:val="TextBody"/>
        <w:bidi w:val="0"/>
        <w:spacing w:lineRule="auto" w:line="331" w:before="0" w:after="0"/>
        <w:jc w:val="both"/>
        <w:rPr/>
      </w:pPr>
      <w:r>
        <w:rPr/>
        <w:t>infeasible, and through which flux was constrained to 0. Although the transporters are displayed</w:t>
      </w:r>
    </w:p>
    <w:p>
      <w:pPr>
        <w:pStyle w:val="TextBody"/>
        <w:bidi w:val="0"/>
        <w:spacing w:lineRule="auto" w:line="331" w:before="0" w:after="0"/>
        <w:jc w:val="both"/>
        <w:rPr/>
      </w:pPr>
      <w:r>
        <w:rPr/>
        <w:t>under ‘Opening’ and ‘Closing’ for convenience, they were not segregated as such in the model,</w:t>
      </w:r>
    </w:p>
    <w:p>
      <w:pPr>
        <w:pStyle w:val="TextBody"/>
        <w:bidi w:val="0"/>
        <w:spacing w:lineRule="auto" w:line="331" w:before="0" w:after="0"/>
        <w:jc w:val="both"/>
        <w:rPr/>
      </w:pPr>
      <w:r>
        <w:rPr/>
        <w:t>and where the same transporter is displayed in both ‘Opening’ and ‘Closing’, the reaction was</w:t>
      </w:r>
    </w:p>
    <w:p>
      <w:pPr>
        <w:pStyle w:val="TextBody"/>
        <w:bidi w:val="0"/>
        <w:spacing w:lineRule="auto" w:line="331" w:before="0" w:after="0"/>
        <w:jc w:val="both"/>
        <w:rPr/>
      </w:pPr>
      <w:r>
        <w:rPr/>
        <w:t xml:space="preserve">defined as reversible. pH values for the compartments remained as in Shameer et al (2018). </w:t>
      </w:r>
      <w:r>
        <w:rPr/>
        <w:t xml:space="preserve">Sources: </w:t>
      </w:r>
      <w:r>
        <w:rPr/>
        <w:t xml:space="preserve">* - </w:t>
      </w:r>
      <w:r>
        <w:rPr/>
        <w:t xml:space="preserve">Present in core model; </w:t>
      </w:r>
      <w:r>
        <w:rPr/>
        <w:t xml:space="preserve">⌂ - </w:t>
      </w:r>
      <w:r>
        <w:rPr/>
        <w:t xml:space="preserve">Santelia and Lawson (2016); + - OnGuard (Hills et al., 2012); </w:t>
      </w:r>
      <w:r>
        <w:rPr/>
        <w:t xml:space="preserve">‡ - </w:t>
      </w:r>
      <w:r>
        <w:rPr/>
        <w:t>SWEET (Feng and Frommer, 2015). For full details see Supplemental Code.</w:t>
      </w:r>
    </w:p>
    <w:p>
      <w:pPr>
        <w:pStyle w:val="TextBody"/>
        <w:bidi w:val="0"/>
        <w:spacing w:lineRule="auto" w:line="331" w:before="0" w:after="0"/>
        <w:jc w:val="both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6120130" cy="677989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7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331" w:before="0" w:after="0"/>
        <w:jc w:val="both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jc w:val="both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jc w:val="both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jc w:val="both"/>
        <w:rPr/>
      </w:pPr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  <w:t>Supplemental Table 2. Parameter bounds for parameter scan</w:t>
      </w:r>
    </w:p>
    <w:p>
      <w:pPr>
        <w:pStyle w:val="TextBody"/>
        <w:bidi w:val="0"/>
        <w:spacing w:lineRule="auto" w:line="331" w:before="0" w:after="0"/>
        <w:jc w:val="both"/>
        <w:rPr/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  <w:t>Lower and upper p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  <w:t>arameter values were collected from the corresponding source. n, m, r, and s are empirical parameters used in the OnGuard model for calculating guard cell osmolarity (see Methods). For more details of selection see Supplemental Code. GC, Guard cell; PS, Photosynthetic; MC, Mesophyll cell.</w:t>
      </w:r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  <w:tab/>
        <w:t xml:space="preserve"> </w:t>
        <w:tab/>
        <w:t xml:space="preserve"> </w:t>
        <w:tab/>
      </w:r>
    </w:p>
    <w:tbl>
      <w:tblPr>
        <w:tblW w:w="9638" w:type="dxa"/>
        <w:jc w:val="left"/>
        <w:tblInd w:w="0" w:type="dxa"/>
        <w:tblLayout w:type="fixed"/>
        <w:tblCellMar>
          <w:top w:w="100" w:type="dxa"/>
          <w:left w:w="0" w:type="dxa"/>
          <w:bottom w:w="100" w:type="dxa"/>
          <w:right w:w="0" w:type="dxa"/>
        </w:tblCellMar>
      </w:tblPr>
      <w:tblGrid>
        <w:gridCol w:w="1099"/>
        <w:gridCol w:w="1142"/>
        <w:gridCol w:w="1084"/>
        <w:gridCol w:w="1576"/>
        <w:gridCol w:w="2234"/>
        <w:gridCol w:w="2502"/>
      </w:tblGrid>
      <w:tr>
        <w:trPr/>
        <w:tc>
          <w:tcPr>
            <w:tcW w:w="1099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Parameter</w:t>
            </w:r>
          </w:p>
        </w:tc>
        <w:tc>
          <w:tcPr>
            <w:tcW w:w="1142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Lower</w:t>
            </w:r>
          </w:p>
        </w:tc>
        <w:tc>
          <w:tcPr>
            <w:tcW w:w="1084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Upper</w:t>
            </w:r>
          </w:p>
        </w:tc>
        <w:tc>
          <w:tcPr>
            <w:tcW w:w="1576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Units</w:t>
            </w:r>
          </w:p>
        </w:tc>
        <w:tc>
          <w:tcPr>
            <w:tcW w:w="2234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Source Lower</w:t>
            </w:r>
          </w:p>
        </w:tc>
        <w:tc>
          <w:tcPr>
            <w:tcW w:w="2502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Source Upper</w:t>
            </w:r>
          </w:p>
        </w:tc>
      </w:tr>
      <w:tr>
        <w:trPr/>
        <w:tc>
          <w:tcPr>
            <w:tcW w:w="1099" w:type="dxa"/>
            <w:tcBorders>
              <w:top w:val="single" w:sz="8" w:space="0" w:color="000000"/>
            </w:tcBorders>
            <w:tcMar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P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abs</w:t>
            </w:r>
          </w:p>
        </w:tc>
        <w:tc>
          <w:tcPr>
            <w:tcW w:w="1142" w:type="dxa"/>
            <w:tcBorders>
              <w:top w:val="single" w:sz="8" w:space="0" w:color="000000"/>
            </w:tcBorders>
            <w:tcMar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0.81</w:t>
            </w:r>
          </w:p>
        </w:tc>
        <w:tc>
          <w:tcPr>
            <w:tcW w:w="1084" w:type="dxa"/>
            <w:tcBorders>
              <w:top w:val="single" w:sz="8" w:space="0" w:color="000000"/>
            </w:tcBorders>
            <w:tcMar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0.99</w:t>
            </w:r>
          </w:p>
        </w:tc>
        <w:tc>
          <w:tcPr>
            <w:tcW w:w="1576" w:type="dxa"/>
            <w:tcBorders>
              <w:top w:val="single" w:sz="8" w:space="0" w:color="000000"/>
            </w:tcBorders>
            <w:tcMar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Dimensionless</w:t>
            </w:r>
          </w:p>
        </w:tc>
        <w:tc>
          <w:tcPr>
            <w:tcW w:w="2234" w:type="dxa"/>
            <w:tcBorders>
              <w:top w:val="single" w:sz="8" w:space="0" w:color="000000"/>
            </w:tcBorders>
            <w:tcMar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 xml:space="preserve">90% of </w:t>
            </w:r>
            <w:hyperlink r:id="rId4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(Zhu et al., 2010)</w:t>
              </w:r>
            </w:hyperlink>
          </w:p>
        </w:tc>
        <w:tc>
          <w:tcPr>
            <w:tcW w:w="2502" w:type="dxa"/>
            <w:tcBorders>
              <w:top w:val="single" w:sz="8" w:space="0" w:color="000000"/>
            </w:tcBorders>
            <w:tcMar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 xml:space="preserve">110% of </w:t>
            </w:r>
            <w:hyperlink r:id="rId5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(Zhu et al., 2010)</w:t>
              </w:r>
            </w:hyperlink>
          </w:p>
        </w:tc>
      </w:tr>
      <w:tr>
        <w:trPr/>
        <w:tc>
          <w:tcPr>
            <w:tcW w:w="1099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T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l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1.7 x 10-4</w:t>
            </w:r>
          </w:p>
        </w:tc>
        <w:tc>
          <w:tcPr>
            <w:tcW w:w="108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2.4 x 10-4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m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6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(Wuyts et al., 2010)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7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(Ramonell et al., 2001)</w:t>
              </w:r>
            </w:hyperlink>
          </w:p>
        </w:tc>
      </w:tr>
      <w:tr>
        <w:trPr/>
        <w:tc>
          <w:tcPr>
            <w:tcW w:w="1099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A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l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</w:t>
            </w:r>
          </w:p>
        </w:tc>
        <w:tc>
          <w:tcPr>
            <w:tcW w:w="108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m2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Fixed</w:t>
            </w:r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Fixed</w:t>
            </w:r>
          </w:p>
        </w:tc>
      </w:tr>
      <w:tr>
        <w:trPr/>
        <w:tc>
          <w:tcPr>
            <w:tcW w:w="1099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V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gc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4.75 x 10-13</w:t>
            </w:r>
          </w:p>
        </w:tc>
        <w:tc>
          <w:tcPr>
            <w:tcW w:w="108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4.1 x 10-12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dm3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8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(Jezek and Blatt, 2017)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9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(Hills et al., 2012)</w:t>
              </w:r>
            </w:hyperlink>
          </w:p>
        </w:tc>
      </w:tr>
      <w:tr>
        <w:trPr/>
        <w:tc>
          <w:tcPr>
            <w:tcW w:w="1099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F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q</w:t>
            </w: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F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m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0.79</w:t>
            </w:r>
          </w:p>
        </w:tc>
        <w:tc>
          <w:tcPr>
            <w:tcW w:w="108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0.9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Dimensionless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10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(Lawson et al., 2003)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11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(Lawson et al., 2003)</w:t>
              </w:r>
            </w:hyperlink>
          </w:p>
        </w:tc>
      </w:tr>
      <w:tr>
        <w:trPr/>
        <w:tc>
          <w:tcPr>
            <w:tcW w:w="1099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R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ch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0.035</w:t>
            </w:r>
          </w:p>
        </w:tc>
        <w:tc>
          <w:tcPr>
            <w:tcW w:w="108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0.183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Dimensionless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12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(Fujiwara et al., 2019)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13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(Fujiwara et al., 2019)</w:t>
              </w:r>
            </w:hyperlink>
          </w:p>
        </w:tc>
      </w:tr>
      <w:tr>
        <w:trPr/>
        <w:tc>
          <w:tcPr>
            <w:tcW w:w="1099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Lair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0.185</w:t>
            </w:r>
          </w:p>
        </w:tc>
        <w:tc>
          <w:tcPr>
            <w:tcW w:w="108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0.37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Dimensionless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14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(Ramonell et al., 2001)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15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(Earles et al., 2018)</w:t>
              </w:r>
            </w:hyperlink>
          </w:p>
        </w:tc>
      </w:tr>
      <w:tr>
        <w:trPr/>
        <w:tc>
          <w:tcPr>
            <w:tcW w:w="1099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L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epidermis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0.1</w:t>
            </w:r>
          </w:p>
        </w:tc>
        <w:tc>
          <w:tcPr>
            <w:tcW w:w="108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0.24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Dimensionless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16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(Willmer and Fricker, 1996)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17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(Ramonell et al., 2001)</w:t>
              </w:r>
            </w:hyperlink>
          </w:p>
        </w:tc>
      </w:tr>
      <w:tr>
        <w:trPr/>
        <w:tc>
          <w:tcPr>
            <w:tcW w:w="1099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Vac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frac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0.751</w:t>
            </w:r>
          </w:p>
        </w:tc>
        <w:tc>
          <w:tcPr>
            <w:tcW w:w="108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0.9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Dimensionless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18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(Wang et al., 2017)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19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(Andrés et al., 2014)</w:t>
              </w:r>
            </w:hyperlink>
          </w:p>
        </w:tc>
      </w:tr>
      <w:tr>
        <w:trPr/>
        <w:tc>
          <w:tcPr>
            <w:tcW w:w="1099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T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283.15</w:t>
            </w:r>
          </w:p>
        </w:tc>
        <w:tc>
          <w:tcPr>
            <w:tcW w:w="108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298.15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K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10C</w:t>
            </w:r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25C</w:t>
            </w:r>
          </w:p>
        </w:tc>
      </w:tr>
      <w:tr>
        <w:trPr/>
        <w:tc>
          <w:tcPr>
            <w:tcW w:w="1099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R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0.08205</w:t>
            </w:r>
          </w:p>
        </w:tc>
        <w:tc>
          <w:tcPr>
            <w:tcW w:w="108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0.08205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dm3·atm·K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</w:rPr>
              <w:t>−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1·mol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</w:rPr>
              <w:t>−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Tiesinga et al. (2019)</w:t>
            </w:r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Tiesinga et al. (2019)</w:t>
            </w:r>
          </w:p>
        </w:tc>
      </w:tr>
      <w:tr>
        <w:trPr/>
        <w:tc>
          <w:tcPr>
            <w:tcW w:w="1099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N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gcs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1.72 x 108</w:t>
            </w:r>
          </w:p>
        </w:tc>
        <w:tc>
          <w:tcPr>
            <w:tcW w:w="108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11.6 x 108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m-2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20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(Willmer and Fricker, 1996)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21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(Papanatsiou et al., 2016)</w:t>
              </w:r>
            </w:hyperlink>
          </w:p>
        </w:tc>
      </w:tr>
      <w:tr>
        <w:trPr/>
        <w:tc>
          <w:tcPr>
            <w:tcW w:w="1099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n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1.5</w:t>
            </w:r>
          </w:p>
        </w:tc>
        <w:tc>
          <w:tcPr>
            <w:tcW w:w="108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2.5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atm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Wang et al. (2012)</w:t>
            </w:r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22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(Wang et al., 2017)</w:t>
              </w:r>
            </w:hyperlink>
          </w:p>
        </w:tc>
      </w:tr>
      <w:tr>
        <w:trPr/>
        <w:tc>
          <w:tcPr>
            <w:tcW w:w="1099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m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0.8</w:t>
            </w:r>
          </w:p>
        </w:tc>
        <w:tc>
          <w:tcPr>
            <w:tcW w:w="108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atm·µm-1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23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(Wang et al., 2017)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Wang et al. (2012)</w:t>
            </w:r>
          </w:p>
        </w:tc>
      </w:tr>
      <w:tr>
        <w:trPr/>
        <w:tc>
          <w:tcPr>
            <w:tcW w:w="1099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r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5 x 10-14</w:t>
            </w:r>
          </w:p>
        </w:tc>
        <w:tc>
          <w:tcPr>
            <w:tcW w:w="108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8 x 10-14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dm3·µm-1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24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(Wang et al., 2017)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Wang et al. (2012)</w:t>
            </w:r>
          </w:p>
        </w:tc>
      </w:tr>
      <w:tr>
        <w:trPr/>
        <w:tc>
          <w:tcPr>
            <w:tcW w:w="1099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s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 x 10-13</w:t>
            </w:r>
          </w:p>
        </w:tc>
        <w:tc>
          <w:tcPr>
            <w:tcW w:w="108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3 x 10-13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dm3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Wang et al. (2012)</w:t>
            </w:r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25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(Wang et al., 2017)</w:t>
              </w:r>
            </w:hyperlink>
          </w:p>
        </w:tc>
      </w:tr>
      <w:tr>
        <w:trPr/>
        <w:tc>
          <w:tcPr>
            <w:tcW w:w="1099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C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apo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0.0230</w:t>
            </w:r>
          </w:p>
        </w:tc>
        <w:tc>
          <w:tcPr>
            <w:tcW w:w="108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37.3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mol·dm-3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26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(Wang et al., 2017)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27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(Roelfsema and Hedrich, 2002)</w:t>
              </w:r>
            </w:hyperlink>
          </w:p>
        </w:tc>
      </w:tr>
      <w:tr>
        <w:trPr/>
        <w:tc>
          <w:tcPr>
            <w:tcW w:w="1099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A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closed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</w:t>
            </w:r>
          </w:p>
        </w:tc>
        <w:tc>
          <w:tcPr>
            <w:tcW w:w="108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4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µm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28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(Jezek and Blatt, 2017)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29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(Wang et al., 2017)</w:t>
              </w:r>
            </w:hyperlink>
          </w:p>
        </w:tc>
      </w:tr>
      <w:tr>
        <w:trPr/>
        <w:tc>
          <w:tcPr>
            <w:tcW w:w="1099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A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open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2.75</w:t>
            </w:r>
          </w:p>
        </w:tc>
        <w:tc>
          <w:tcPr>
            <w:tcW w:w="108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12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µm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30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(Horrer et al., 2016)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31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(Wang et al., 2017)</w:t>
              </w:r>
            </w:hyperlink>
          </w:p>
        </w:tc>
      </w:tr>
      <w:tr>
        <w:trPr/>
        <w:tc>
          <w:tcPr>
            <w:tcW w:w="1099" w:type="dxa"/>
            <w:tcBorders>
              <w:bottom w:val="single" w:sz="12" w:space="0" w:color="000000"/>
            </w:tcBorders>
            <w:tcMar>
              <w:top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ATPase</w:t>
            </w:r>
          </w:p>
        </w:tc>
        <w:tc>
          <w:tcPr>
            <w:tcW w:w="1142" w:type="dxa"/>
            <w:tcBorders>
              <w:bottom w:val="single" w:sz="12" w:space="0" w:color="000000"/>
            </w:tcBorders>
            <w:tcMar>
              <w:top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</w:t>
            </w:r>
          </w:p>
        </w:tc>
        <w:tc>
          <w:tcPr>
            <w:tcW w:w="1084" w:type="dxa"/>
            <w:tcBorders>
              <w:bottom w:val="single" w:sz="12" w:space="0" w:color="000000"/>
            </w:tcBorders>
            <w:tcMar>
              <w:top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17</w:t>
            </w:r>
          </w:p>
        </w:tc>
        <w:tc>
          <w:tcPr>
            <w:tcW w:w="1576" w:type="dxa"/>
            <w:tcBorders>
              <w:bottom w:val="single" w:sz="12" w:space="0" w:color="000000"/>
            </w:tcBorders>
            <w:tcMar>
              <w:top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fmol·GC-1·h-1</w:t>
            </w:r>
          </w:p>
        </w:tc>
        <w:tc>
          <w:tcPr>
            <w:tcW w:w="2234" w:type="dxa"/>
            <w:tcBorders>
              <w:bottom w:val="single" w:sz="12" w:space="0" w:color="000000"/>
            </w:tcBorders>
            <w:tcMar>
              <w:top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</w:t>
            </w:r>
          </w:p>
        </w:tc>
        <w:tc>
          <w:tcPr>
            <w:tcW w:w="2502" w:type="dxa"/>
            <w:tcBorders>
              <w:bottom w:val="single" w:sz="12" w:space="0" w:color="000000"/>
            </w:tcBorders>
            <w:tcMar>
              <w:top w:w="0" w:type="dxa"/>
            </w:tcMar>
            <w:vAlign w:val="center"/>
          </w:tcPr>
          <w:p>
            <w:pPr>
              <w:pStyle w:val="TableContents"/>
              <w:widowControl w:val="false"/>
              <w:bidi w:val="0"/>
              <w:spacing w:lineRule="auto" w:line="331" w:before="0" w:after="0"/>
              <w:rPr/>
            </w:pPr>
            <w:hyperlink r:id="rId32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(Flütsch et al., 2020b)</w:t>
              </w:r>
            </w:hyperlink>
          </w:p>
        </w:tc>
      </w:tr>
    </w:tbl>
    <w:p>
      <w:pPr>
        <w:pStyle w:val="TextBody"/>
        <w:bidi w:val="0"/>
        <w:spacing w:lineRule="auto" w:line="331" w:before="0" w:after="0"/>
        <w:jc w:val="both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GB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paperpile.com/c/IW5K2R/2INz" TargetMode="External"/><Relationship Id="rId5" Type="http://schemas.openxmlformats.org/officeDocument/2006/relationships/hyperlink" Target="https://paperpile.com/c/IW5K2R/2INz" TargetMode="External"/><Relationship Id="rId6" Type="http://schemas.openxmlformats.org/officeDocument/2006/relationships/hyperlink" Target="https://paperpile.com/c/IW5K2R/kShU" TargetMode="External"/><Relationship Id="rId7" Type="http://schemas.openxmlformats.org/officeDocument/2006/relationships/hyperlink" Target="https://paperpile.com/c/IW5K2R/N1UR" TargetMode="External"/><Relationship Id="rId8" Type="http://schemas.openxmlformats.org/officeDocument/2006/relationships/hyperlink" Target="https://paperpile.com/c/IW5K2R/oLKz" TargetMode="External"/><Relationship Id="rId9" Type="http://schemas.openxmlformats.org/officeDocument/2006/relationships/hyperlink" Target="https://paperpile.com/c/IW5K2R/vJTh" TargetMode="External"/><Relationship Id="rId10" Type="http://schemas.openxmlformats.org/officeDocument/2006/relationships/hyperlink" Target="https://paperpile.com/c/IW5K2R/TvnR" TargetMode="External"/><Relationship Id="rId11" Type="http://schemas.openxmlformats.org/officeDocument/2006/relationships/hyperlink" Target="https://paperpile.com/c/IW5K2R/TvnR" TargetMode="External"/><Relationship Id="rId12" Type="http://schemas.openxmlformats.org/officeDocument/2006/relationships/hyperlink" Target="https://paperpile.com/c/IW5K2R/V65d" TargetMode="External"/><Relationship Id="rId13" Type="http://schemas.openxmlformats.org/officeDocument/2006/relationships/hyperlink" Target="https://paperpile.com/c/IW5K2R/V65d" TargetMode="External"/><Relationship Id="rId14" Type="http://schemas.openxmlformats.org/officeDocument/2006/relationships/hyperlink" Target="https://paperpile.com/c/IW5K2R/N1UR" TargetMode="External"/><Relationship Id="rId15" Type="http://schemas.openxmlformats.org/officeDocument/2006/relationships/hyperlink" Target="https://paperpile.com/c/IW5K2R/UvsX" TargetMode="External"/><Relationship Id="rId16" Type="http://schemas.openxmlformats.org/officeDocument/2006/relationships/hyperlink" Target="https://paperpile.com/c/IW5K2R/tBoo" TargetMode="External"/><Relationship Id="rId17" Type="http://schemas.openxmlformats.org/officeDocument/2006/relationships/hyperlink" Target="https://paperpile.com/c/IW5K2R/N1UR" TargetMode="External"/><Relationship Id="rId18" Type="http://schemas.openxmlformats.org/officeDocument/2006/relationships/hyperlink" Target="https://paperpile.com/c/IW5K2R/tZOU" TargetMode="External"/><Relationship Id="rId19" Type="http://schemas.openxmlformats.org/officeDocument/2006/relationships/hyperlink" Target="https://paperpile.com/c/IW5K2R/tuWT" TargetMode="External"/><Relationship Id="rId20" Type="http://schemas.openxmlformats.org/officeDocument/2006/relationships/hyperlink" Target="https://paperpile.com/c/IW5K2R/tBoo" TargetMode="External"/><Relationship Id="rId21" Type="http://schemas.openxmlformats.org/officeDocument/2006/relationships/hyperlink" Target="https://paperpile.com/c/IW5K2R/JWv0" TargetMode="External"/><Relationship Id="rId22" Type="http://schemas.openxmlformats.org/officeDocument/2006/relationships/hyperlink" Target="https://paperpile.com/c/IW5K2R/tZOU" TargetMode="External"/><Relationship Id="rId23" Type="http://schemas.openxmlformats.org/officeDocument/2006/relationships/hyperlink" Target="https://paperpile.com/c/IW5K2R/tZOU" TargetMode="External"/><Relationship Id="rId24" Type="http://schemas.openxmlformats.org/officeDocument/2006/relationships/hyperlink" Target="https://paperpile.com/c/IW5K2R/tZOU" TargetMode="External"/><Relationship Id="rId25" Type="http://schemas.openxmlformats.org/officeDocument/2006/relationships/hyperlink" Target="https://paperpile.com/c/IW5K2R/tZOU" TargetMode="External"/><Relationship Id="rId26" Type="http://schemas.openxmlformats.org/officeDocument/2006/relationships/hyperlink" Target="https://paperpile.com/c/IW5K2R/tZOU" TargetMode="External"/><Relationship Id="rId27" Type="http://schemas.openxmlformats.org/officeDocument/2006/relationships/hyperlink" Target="https://paperpile.com/c/IW5K2R/nId8" TargetMode="External"/><Relationship Id="rId28" Type="http://schemas.openxmlformats.org/officeDocument/2006/relationships/hyperlink" Target="https://paperpile.com/c/IW5K2R/oLKz" TargetMode="External"/><Relationship Id="rId29" Type="http://schemas.openxmlformats.org/officeDocument/2006/relationships/hyperlink" Target="https://paperpile.com/c/IW5K2R/tZOU" TargetMode="External"/><Relationship Id="rId30" Type="http://schemas.openxmlformats.org/officeDocument/2006/relationships/hyperlink" Target="https://paperpile.com/c/IW5K2R/IqY5" TargetMode="External"/><Relationship Id="rId31" Type="http://schemas.openxmlformats.org/officeDocument/2006/relationships/hyperlink" Target="https://paperpile.com/c/IW5K2R/tZOU" TargetMode="External"/><Relationship Id="rId32" Type="http://schemas.openxmlformats.org/officeDocument/2006/relationships/hyperlink" Target="https://paperpile.com/c/IW5K2R/nMcE" TargetMode="External"/><Relationship Id="rId33" Type="http://schemas.openxmlformats.org/officeDocument/2006/relationships/fontTable" Target="fontTable.xml"/><Relationship Id="rId3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58</TotalTime>
  <Application>LibreOffice/7.4.6.2$Linux_X86_64 LibreOffice_project/40$Build-2</Application>
  <AppVersion>15.0000</AppVersion>
  <Pages>4</Pages>
  <Words>616</Words>
  <Characters>3113</Characters>
  <CharactersWithSpaces>3575</CharactersWithSpaces>
  <Paragraphs>161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2023-03-07T15:28:33Z</dcterms:created>
  <dc:creator/>
  <dc:description/>
  <dc:language>en-GB</dc:language>
  <cp:lastModifiedBy/>
  <dcterms:modified xsi:type="dcterms:W3CDTF">2023-03-12T17:36:43Z</dcterms:modified>
  <cp:revision>6</cp:revision>
  <dc:subject/>
  <dc:title/>
</cp:coreProperties>
</file>