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rPr>
      </w:pPr>
      <w:r>
        <w:rPr>
          <w:rFonts w:cs="Times New Roman"/>
          <w:b/>
          <w:sz w:val="32"/>
        </w:rPr>
        <w:t>ISLAMIC UNIVERSITY OF TECHNOLOGY</w:t>
      </w:r>
    </w:p>
    <w:p>
      <w:pPr>
        <w:pStyle w:val="Normal"/>
        <w:jc w:val="center"/>
        <w:rPr>
          <w:rFonts w:ascii="Times New Roman" w:hAnsi="Times New Roman" w:cs="Times New Roman"/>
        </w:rPr>
      </w:pPr>
      <w:r>
        <w:rPr>
          <w:rFonts w:cs="Times New Roman"/>
          <w:b/>
          <w:sz w:val="30"/>
        </w:rPr>
        <w:t>Lab Report 3</w:t>
      </w:r>
    </w:p>
    <w:p>
      <w:pPr>
        <w:pStyle w:val="Normal"/>
        <w:jc w:val="center"/>
        <w:rPr>
          <w:rFonts w:ascii="Times New Roman" w:hAnsi="Times New Roman" w:cs="Times New Roman"/>
        </w:rPr>
      </w:pPr>
      <w:r>
        <w:rPr>
          <w:rFonts w:cs="Times New Roman"/>
          <w:b/>
          <w:sz w:val="36"/>
        </w:rPr>
        <w:t>Livestock Management System</w:t>
      </w:r>
    </w:p>
    <w:p>
      <w:pPr>
        <w:pStyle w:val="Normal"/>
        <w:jc w:val="center"/>
        <w:rPr>
          <w:rFonts w:ascii="Times New Roman" w:hAnsi="Times New Roman" w:cs="Times New Roman"/>
        </w:rPr>
      </w:pPr>
      <w:r>
        <w:rPr>
          <w:rFonts w:cs="Times New Roman"/>
          <w:b w:val="false"/>
          <w:sz w:val="26"/>
        </w:rPr>
        <w:t>CSE 4408: System Analysis and Design Lab</w:t>
      </w:r>
    </w:p>
    <w:p>
      <w:pPr>
        <w:pStyle w:val="Normal"/>
        <w:jc w:val="center"/>
        <w:rPr>
          <w:rFonts w:ascii="Times New Roman" w:hAnsi="Times New Roman" w:cs="Times New Roman"/>
        </w:rPr>
      </w:pPr>
      <w:r>
        <w:rPr>
          <w:rFonts w:cs="Times New Roman"/>
          <w:b w:val="false"/>
          <w:sz w:val="26"/>
        </w:rPr>
        <w:t>Lab 3: Feasibility and Cost-Benefit Analysis</w:t>
      </w:r>
    </w:p>
    <w:p>
      <w:pPr>
        <w:pStyle w:val="Normal"/>
        <w:rPr>
          <w:rFonts w:ascii="Times New Roman" w:hAnsi="Times New Roman" w:cs="Times New Roman"/>
        </w:rPr>
      </w:pPr>
      <w:r>
        <w:rPr>
          <w:rFonts w:cs="Times New Roman"/>
        </w:rPr>
      </w:r>
    </w:p>
    <w:p>
      <w:pPr>
        <w:pStyle w:val="Normal"/>
        <w:jc w:val="center"/>
        <w:rPr>
          <w:rFonts w:ascii="Times New Roman" w:hAnsi="Times New Roman" w:cs="Times New Roman"/>
        </w:rPr>
      </w:pPr>
      <w:r>
        <w:rPr>
          <w:rFonts w:cs="Times New Roman"/>
          <w:b/>
        </w:rPr>
        <w:t>Team Member Information</w:t>
      </w:r>
    </w:p>
    <w:tbl>
      <w:tblPr>
        <w:tblStyle w:val="TableGrid"/>
        <w:tblW w:w="979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4896"/>
        <w:gridCol w:w="4896"/>
      </w:tblGrid>
      <w:tr>
        <w:trPr/>
        <w:tc>
          <w:tcPr>
            <w:tcW w:w="4896"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Team Member</w:t>
            </w:r>
          </w:p>
        </w:tc>
        <w:tc>
          <w:tcPr>
            <w:tcW w:w="4896"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Student ID</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Ahmed Sanjeed Sadat Kibria Sadnan</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230041119</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Tawfiq Ahmed Tasin</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230041129</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Md Shahamat Irtisham</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230041131</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Syed Abtahi Bin Mashak</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230041135</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Md Arkam Hossain</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230041157</w:t>
            </w:r>
          </w:p>
        </w:tc>
      </w:tr>
    </w:tbl>
    <w:p>
      <w:pPr>
        <w:pStyle w:val="Normal"/>
        <w:rPr>
          <w:rFonts w:ascii="Times New Roman" w:hAnsi="Times New Roman" w:cs="Times New Roman"/>
        </w:rPr>
      </w:pPr>
      <w:r>
        <w:rPr>
          <w:rFonts w:cs="Times New Roman"/>
        </w:rPr>
      </w:r>
    </w:p>
    <w:p>
      <w:pPr>
        <w:pStyle w:val="Normal"/>
        <w:jc w:val="center"/>
        <w:rPr>
          <w:rFonts w:ascii="Times New Roman" w:hAnsi="Times New Roman" w:cs="Times New Roman"/>
        </w:rPr>
      </w:pPr>
      <w:r>
        <w:rPr>
          <w:rFonts w:cs="Times New Roman"/>
          <w:b/>
          <w:sz w:val="24"/>
        </w:rPr>
        <w:t>Team: Go Paloks</w:t>
        <w:br/>
        <w:t>Date: May 13, 2026</w:t>
      </w:r>
    </w:p>
    <w:p>
      <w:pPr>
        <w:pStyle w:val="Normal"/>
        <w:rPr>
          <w:rFonts w:ascii="Times New Roman" w:hAnsi="Times New Roman" w:cs="Times New Roman"/>
        </w:rPr>
      </w:pPr>
      <w:r>
        <w:rPr>
          <w:rFonts w:cs="Times New Roman"/>
        </w:rPr>
      </w:r>
      <w:r>
        <w:br w:type="page"/>
      </w:r>
    </w:p>
    <w:p>
      <w:pPr>
        <w:pStyle w:val="Heading1"/>
        <w:spacing w:before="0" w:after="0"/>
        <w:rPr>
          <w:rFonts w:ascii="Times New Roman" w:hAnsi="Times New Roman" w:cs="Times New Roman"/>
        </w:rPr>
      </w:pPr>
      <w:r>
        <w:rPr>
          <w:rFonts w:cs="Times New Roman" w:ascii="Times New Roman" w:hAnsi="Times New Roman"/>
        </w:rPr>
      </w:r>
    </w:p>
    <w:sdt>
      <w:sdtPr>
        <w:docPartObj>
          <w:docPartGallery w:val="Table of Contents"/>
          <w:docPartUnique w:val="true"/>
        </w:docPartObj>
      </w:sdtPr>
      <w:sdtContent>
        <w:p>
          <w:pPr>
            <w:pStyle w:val="TOCHeading"/>
            <w:rPr/>
          </w:pPr>
          <w:r>
            <w:rPr/>
            <w:t>Table of Contents</w:t>
          </w:r>
        </w:p>
        <w:p>
          <w:pPr>
            <w:pStyle w:val="TOC1"/>
            <w:tabs>
              <w:tab w:val="clear" w:pos="9792"/>
              <w:tab w:val="right" w:pos="9791" w:leader="dot"/>
            </w:tabs>
            <w:rPr/>
          </w:pPr>
          <w:r>
            <w:fldChar w:fldCharType="begin"/>
          </w:r>
          <w:r>
            <w:rPr>
              <w:rStyle w:val="IndexLink"/>
            </w:rPr>
            <w:instrText xml:space="preserve"> TOC \f \o "1-9" \h</w:instrText>
          </w:r>
          <w:r>
            <w:rPr>
              <w:rStyle w:val="IndexLink"/>
            </w:rPr>
            <w:fldChar w:fldCharType="separate"/>
          </w:r>
          <w:r>
            <w:rPr>
              <w:rStyle w:val="IndexLink"/>
            </w:rPr>
            <w:t>Contents</w:t>
          </w:r>
          <w:r>
            <w:rPr/>
            <w:tab/>
            <w:t>2</w:t>
          </w:r>
        </w:p>
        <w:p>
          <w:pPr>
            <w:pStyle w:val="TOC1"/>
            <w:tabs>
              <w:tab w:val="clear" w:pos="9792"/>
              <w:tab w:val="right" w:pos="9791" w:leader="dot"/>
            </w:tabs>
            <w:rPr/>
          </w:pPr>
          <w:r>
            <w:rPr/>
            <w:t>1. Problem Definition and Project Selection</w:t>
            <w:tab/>
            <w:t>4</w:t>
          </w:r>
        </w:p>
        <w:p>
          <w:pPr>
            <w:pStyle w:val="TOC2"/>
            <w:tabs>
              <w:tab w:val="clear" w:pos="9509"/>
              <w:tab w:val="right" w:pos="9791" w:leader="dot"/>
            </w:tabs>
            <w:rPr/>
          </w:pPr>
          <w:r>
            <w:rPr/>
            <w:t>1.1 Organizational Context</w:t>
            <w:tab/>
            <w:t>4</w:t>
          </w:r>
        </w:p>
        <w:p>
          <w:pPr>
            <w:pStyle w:val="TOC2"/>
            <w:tabs>
              <w:tab w:val="clear" w:pos="9509"/>
              <w:tab w:val="right" w:pos="9791" w:leader="dot"/>
            </w:tabs>
            <w:rPr/>
          </w:pPr>
          <w:r>
            <w:rPr/>
            <w:t>1.2 Core Problem Statement</w:t>
            <w:tab/>
            <w:t>4</w:t>
          </w:r>
        </w:p>
        <w:p>
          <w:pPr>
            <w:pStyle w:val="TOC2"/>
            <w:tabs>
              <w:tab w:val="clear" w:pos="9509"/>
              <w:tab w:val="right" w:pos="9791" w:leader="dot"/>
            </w:tabs>
            <w:rPr/>
          </w:pPr>
          <w:r>
            <w:rPr/>
            <w:t>1.3 System Scope and Constraints</w:t>
            <w:tab/>
            <w:t>4</w:t>
          </w:r>
        </w:p>
        <w:p>
          <w:pPr>
            <w:pStyle w:val="TOC2"/>
            <w:tabs>
              <w:tab w:val="clear" w:pos="9509"/>
              <w:tab w:val="right" w:pos="9791" w:leader="dot"/>
            </w:tabs>
            <w:rPr/>
          </w:pPr>
          <w:r>
            <w:rPr/>
            <w:t>1.4 Project Selection Against the Five Textbook Criteria</w:t>
            <w:tab/>
            <w:t>5</w:t>
          </w:r>
        </w:p>
        <w:p>
          <w:pPr>
            <w:pStyle w:val="TOC1"/>
            <w:tabs>
              <w:tab w:val="clear" w:pos="9792"/>
              <w:tab w:val="right" w:pos="9791" w:leader="dot"/>
            </w:tabs>
            <w:rPr/>
          </w:pPr>
          <w:r>
            <w:rPr/>
            <w:t>2. Project Overview and Data Sources</w:t>
            <w:tab/>
            <w:t>5</w:t>
          </w:r>
        </w:p>
        <w:p>
          <w:pPr>
            <w:pStyle w:val="TOC1"/>
            <w:tabs>
              <w:tab w:val="clear" w:pos="9792"/>
              <w:tab w:val="right" w:pos="9791" w:leader="dot"/>
            </w:tabs>
            <w:rPr/>
          </w:pPr>
          <w:r>
            <w:rPr/>
            <w:t>3. Preliminary Feasibility Assessment</w:t>
            <w:tab/>
            <w:t>6</w:t>
          </w:r>
        </w:p>
        <w:p>
          <w:pPr>
            <w:pStyle w:val="TOC2"/>
            <w:tabs>
              <w:tab w:val="clear" w:pos="9509"/>
              <w:tab w:val="right" w:pos="9791" w:leader="dot"/>
            </w:tabs>
            <w:rPr/>
          </w:pPr>
          <w:r>
            <w:rPr/>
            <w:t>3.1 Technical Feasibility</w:t>
            <w:tab/>
            <w:t>6</w:t>
          </w:r>
        </w:p>
        <w:p>
          <w:pPr>
            <w:pStyle w:val="TOC2"/>
            <w:tabs>
              <w:tab w:val="clear" w:pos="9509"/>
              <w:tab w:val="right" w:pos="9791" w:leader="dot"/>
            </w:tabs>
            <w:rPr/>
          </w:pPr>
          <w:r>
            <w:rPr/>
            <w:t>3.2 Economic Feasibility</w:t>
            <w:tab/>
            <w:t>6</w:t>
          </w:r>
        </w:p>
        <w:p>
          <w:pPr>
            <w:pStyle w:val="TOC2"/>
            <w:tabs>
              <w:tab w:val="clear" w:pos="9509"/>
              <w:tab w:val="right" w:pos="9791" w:leader="dot"/>
            </w:tabs>
            <w:rPr/>
          </w:pPr>
          <w:r>
            <w:rPr/>
            <w:t>3.3 Operational Feasibility</w:t>
            <w:tab/>
            <w:t>6</w:t>
          </w:r>
        </w:p>
        <w:p>
          <w:pPr>
            <w:pStyle w:val="TOC1"/>
            <w:tabs>
              <w:tab w:val="clear" w:pos="9792"/>
              <w:tab w:val="right" w:pos="9791" w:leader="dot"/>
            </w:tabs>
            <w:rPr/>
          </w:pPr>
          <w:r>
            <w:rPr/>
            <w:t>4. Workload Estimates and Before-After Projection</w:t>
            <w:tab/>
            <w:t>7</w:t>
          </w:r>
        </w:p>
        <w:p>
          <w:pPr>
            <w:pStyle w:val="TOC1"/>
            <w:tabs>
              <w:tab w:val="clear" w:pos="9792"/>
              <w:tab w:val="right" w:pos="9791" w:leader="dot"/>
            </w:tabs>
            <w:rPr/>
          </w:pPr>
          <w:r>
            <w:rPr/>
            <w:t>5. Cost-Benefit Forecast</w:t>
            <w:tab/>
            <w:t>8</w:t>
          </w:r>
        </w:p>
        <w:p>
          <w:pPr>
            <w:pStyle w:val="TOC2"/>
            <w:tabs>
              <w:tab w:val="clear" w:pos="9509"/>
              <w:tab w:val="right" w:pos="9791" w:leader="dot"/>
            </w:tabs>
            <w:rPr/>
          </w:pPr>
          <w:r>
            <w:rPr/>
            <w:t>5.1 Cost Forecast</w:t>
            <w:tab/>
            <w:t>8</w:t>
          </w:r>
        </w:p>
        <w:p>
          <w:pPr>
            <w:pStyle w:val="TOC2"/>
            <w:tabs>
              <w:tab w:val="clear" w:pos="9509"/>
              <w:tab w:val="right" w:pos="9791" w:leader="dot"/>
            </w:tabs>
            <w:rPr/>
          </w:pPr>
          <w:r>
            <w:rPr/>
            <w:t>5.2 Benefit Forecast</w:t>
            <w:tab/>
            <w:t>8</w:t>
          </w:r>
        </w:p>
        <w:p>
          <w:pPr>
            <w:pStyle w:val="TOC2"/>
            <w:tabs>
              <w:tab w:val="clear" w:pos="9509"/>
              <w:tab w:val="right" w:pos="9791" w:leader="dot"/>
            </w:tabs>
            <w:rPr/>
          </w:pPr>
          <w:r>
            <w:rPr/>
            <w:t>5.3 Tangible and Intangible Benefits</w:t>
            <w:tab/>
            <w:t>9</w:t>
          </w:r>
        </w:p>
        <w:p>
          <w:pPr>
            <w:pStyle w:val="TOC1"/>
            <w:tabs>
              <w:tab w:val="clear" w:pos="9792"/>
              <w:tab w:val="right" w:pos="9791" w:leader="dot"/>
            </w:tabs>
            <w:rPr/>
          </w:pPr>
          <w:r>
            <w:rPr/>
            <w:t>6. Break-Even and Payback Analysis</w:t>
            <w:tab/>
            <w:t>9</w:t>
          </w:r>
        </w:p>
        <w:p>
          <w:pPr>
            <w:pStyle w:val="TOC2"/>
            <w:tabs>
              <w:tab w:val="clear" w:pos="9509"/>
              <w:tab w:val="right" w:pos="9791" w:leader="dot"/>
            </w:tabs>
            <w:rPr/>
          </w:pPr>
          <w:r>
            <w:rPr/>
            <w:t>6.1 Payback Period</w:t>
            <w:tab/>
            <w:t>9</w:t>
          </w:r>
        </w:p>
        <w:p>
          <w:pPr>
            <w:pStyle w:val="TOC2"/>
            <w:tabs>
              <w:tab w:val="clear" w:pos="9509"/>
              <w:tab w:val="right" w:pos="9791" w:leader="dot"/>
            </w:tabs>
            <w:rPr/>
          </w:pPr>
          <w:r>
            <w:rPr/>
            <w:t>6.2 Break-Even Point</w:t>
            <w:tab/>
            <w:t>9</w:t>
          </w:r>
          <w:r>
            <w:rPr/>
            <w:fldChar w:fldCharType="end"/>
          </w:r>
        </w:p>
      </w:sdtContent>
    </w:sdt>
    <w:p>
      <w:pPr>
        <w:pStyle w:val="Normal"/>
        <w:rPr>
          <w:rFonts w:ascii="Times New Roman" w:hAnsi="Times New Roman" w:cs="Times New Roman"/>
        </w:rPr>
      </w:pPr>
      <w:r>
        <w:rPr>
          <w:rFonts w:cs="Times New Roman"/>
        </w:rPr>
      </w:r>
      <w:r>
        <w:br w:type="page"/>
      </w:r>
    </w:p>
    <w:p>
      <w:pPr>
        <w:pStyle w:val="Heading1"/>
        <w:spacing w:before="0" w:after="0"/>
        <w:rPr>
          <w:rFonts w:ascii="Times New Roman" w:hAnsi="Times New Roman" w:cs="Times New Roman"/>
        </w:rPr>
      </w:pPr>
      <w:bookmarkStart w:id="0" w:name="__RefHeading___Toc1918_3983903345"/>
      <w:bookmarkEnd w:id="0"/>
      <w:r>
        <w:rPr>
          <w:rFonts w:cs="Times New Roman" w:ascii="Times New Roman" w:hAnsi="Times New Roman"/>
        </w:rPr>
        <w:t>1. Problem Definition and Project Selection</w:t>
      </w:r>
    </w:p>
    <w:p>
      <w:pPr>
        <w:pStyle w:val="Heading2"/>
        <w:rPr>
          <w:rFonts w:ascii="Times New Roman" w:hAnsi="Times New Roman" w:cs="Times New Roman"/>
        </w:rPr>
      </w:pPr>
      <w:bookmarkStart w:id="1" w:name="__RefHeading___Toc1920_3983903345"/>
      <w:bookmarkEnd w:id="1"/>
      <w:r>
        <w:rPr>
          <w:rFonts w:cs="Times New Roman" w:ascii="Times New Roman" w:hAnsi="Times New Roman"/>
        </w:rPr>
        <w:t>1.1 Organizational Context</w:t>
      </w:r>
    </w:p>
    <w:p>
      <w:pPr>
        <w:pStyle w:val="Normal"/>
        <w:rPr>
          <w:rFonts w:ascii="Times New Roman" w:hAnsi="Times New Roman" w:cs="Times New Roman"/>
        </w:rPr>
      </w:pPr>
      <w:r>
        <w:rPr>
          <w:rFonts w:cs="Times New Roman"/>
          <w:sz w:val="22"/>
        </w:rPr>
        <w:t>The project concerns an Integrated Smart Farm System covering poultry, fisheries, and cattle. The target organization currently depends on manual records and disconnected operational routines, while the proposed Livestock Management System will provide a centralized web-based application supported by a relational database. The overall goal is to improve efficiency, sustainability, resource sharing, tracking, and decision-making across all livestock subsystems.</w:t>
      </w:r>
    </w:p>
    <w:p>
      <w:pPr>
        <w:pStyle w:val="Heading2"/>
        <w:rPr>
          <w:rFonts w:ascii="Times New Roman" w:hAnsi="Times New Roman" w:cs="Times New Roman"/>
        </w:rPr>
      </w:pPr>
      <w:bookmarkStart w:id="2" w:name="__RefHeading___Toc1922_3983903345"/>
      <w:bookmarkEnd w:id="2"/>
      <w:r>
        <w:rPr>
          <w:rFonts w:cs="Times New Roman" w:ascii="Times New Roman" w:hAnsi="Times New Roman"/>
        </w:rPr>
        <w:t>1.2 Core Problem Statement</w:t>
      </w:r>
    </w:p>
    <w:p>
      <w:pPr>
        <w:pStyle w:val="Normal"/>
        <w:rPr>
          <w:rFonts w:ascii="Times New Roman" w:hAnsi="Times New Roman" w:cs="Times New Roman"/>
        </w:rPr>
      </w:pPr>
      <w:r>
        <w:rPr>
          <w:rFonts w:cs="Times New Roman"/>
          <w:sz w:val="22"/>
        </w:rPr>
        <w:t>The existing farm operation is slowed down by paper-based record keeping, isolated subsystem data, delayed reporting, and weak tracking of feed, inventory, health, and production activities. Because data is recorded manually, the farm faces data loss, human error, duplicate work, inconsistent records, missed alerts, irregular vaccination follow-up, overstocking or shortage of resources, and weak accountability.</w:t>
      </w:r>
    </w:p>
    <w:p>
      <w:pPr>
        <w:pStyle w:val="Normal"/>
        <w:jc w:val="center"/>
        <w:rPr>
          <w:rFonts w:ascii="Times New Roman" w:hAnsi="Times New Roman" w:cs="Times New Roman"/>
        </w:rPr>
      </w:pPr>
      <w:r>
        <w:rPr>
          <w:rFonts w:cs="Times New Roman"/>
        </w:rPr>
      </w:r>
    </w:p>
    <w:tbl>
      <w:tblPr>
        <w:tblStyle w:val="TableGrid"/>
        <w:tblW w:w="979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264"/>
        <w:gridCol w:w="3264"/>
        <w:gridCol w:w="3264"/>
      </w:tblGrid>
      <w:tr>
        <w:trPr/>
        <w:tc>
          <w:tcPr>
            <w:tcW w:w="3264"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Issue</w:t>
            </w:r>
          </w:p>
        </w:tc>
        <w:tc>
          <w:tcPr>
            <w:tcW w:w="3264"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Objective</w:t>
            </w:r>
          </w:p>
        </w:tc>
        <w:tc>
          <w:tcPr>
            <w:tcW w:w="3264"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System Requirement</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Manual records and data loss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Reduce dependency on paper logs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Auto data entry support and report generation</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Disconnected poultry, fisheries, and cattle subsystems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Create one shared information base</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Centralized relational database supporting all subsystems</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No real-time monitoring</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Provide timely operational visibility</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Monitoring and alert system with dashboard analytics</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Delayed decisions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Support faster management decisions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Real-time tracking and summarized reports</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Poor resource tracking</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Improve feed, inventory, and health tracking</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Unified interface with synchronized subsystem data</w:t>
            </w:r>
          </w:p>
        </w:tc>
      </w:tr>
    </w:tbl>
    <w:p>
      <w:pPr>
        <w:pStyle w:val="Normal"/>
        <w:jc w:val="center"/>
        <w:rPr>
          <w:rFonts w:ascii="Times New Roman" w:hAnsi="Times New Roman" w:cs="Times New Roman"/>
        </w:rPr>
      </w:pPr>
      <w:r>
        <w:rPr>
          <w:b/>
        </w:rPr>
        <w:t>Table 1: Issues, Objectives, and Requirements</w:t>
      </w:r>
    </w:p>
    <w:p>
      <w:pPr>
        <w:pStyle w:val="Heading2"/>
        <w:rPr>
          <w:rFonts w:ascii="Times New Roman" w:hAnsi="Times New Roman" w:cs="Times New Roman"/>
        </w:rPr>
      </w:pPr>
      <w:bookmarkStart w:id="3" w:name="__RefHeading___Toc1924_3983903345"/>
      <w:bookmarkEnd w:id="3"/>
      <w:r>
        <w:rPr>
          <w:rFonts w:cs="Times New Roman" w:ascii="Times New Roman" w:hAnsi="Times New Roman"/>
        </w:rPr>
        <w:t>1.3 System Scope and Constraints</w:t>
      </w:r>
    </w:p>
    <w:p>
      <w:pPr>
        <w:pStyle w:val="Normal"/>
        <w:rPr>
          <w:rFonts w:ascii="Times New Roman" w:hAnsi="Times New Roman" w:cs="Times New Roman"/>
        </w:rPr>
      </w:pPr>
      <w:r>
        <w:rPr>
          <w:rFonts w:cs="Times New Roman"/>
          <w:sz w:val="22"/>
        </w:rPr>
        <w:t>The proposed system will be software-focused. It will cover livestock inventory, daily logs, feed and resource tracking, health monitoring, reporting, and basic inventory updates. It will not include physical IoT automation, GPS logistics, e-commerce marketplace functions, payroll, or external regulatory reporting in the first release. This keeps the project achievable for a student systems analysis and design context.</w:t>
      </w:r>
    </w:p>
    <w:p>
      <w:pPr>
        <w:pStyle w:val="ListBullet"/>
        <w:numPr>
          <w:ilvl w:val="0"/>
          <w:numId w:val="1"/>
        </w:numPr>
        <w:rPr>
          <w:rFonts w:ascii="Times New Roman" w:hAnsi="Times New Roman" w:cs="Times New Roman"/>
        </w:rPr>
      </w:pPr>
      <w:r>
        <w:rPr>
          <w:rFonts w:cs="Times New Roman"/>
          <w:sz w:val="22"/>
        </w:rPr>
        <w:t>Budget constraint: the first-year estimated cost is limited to BDT 510,000.</w:t>
      </w:r>
    </w:p>
    <w:p>
      <w:pPr>
        <w:pStyle w:val="ListBullet"/>
        <w:numPr>
          <w:ilvl w:val="0"/>
          <w:numId w:val="1"/>
        </w:numPr>
        <w:rPr>
          <w:rFonts w:ascii="Times New Roman" w:hAnsi="Times New Roman" w:cs="Times New Roman"/>
        </w:rPr>
      </w:pPr>
      <w:r>
        <w:rPr>
          <w:rFonts w:cs="Times New Roman"/>
          <w:sz w:val="22"/>
        </w:rPr>
        <w:t>Technology constraint: the current organization has no existing software infrastructure, so the system must be built from scratch.</w:t>
      </w:r>
    </w:p>
    <w:p>
      <w:pPr>
        <w:pStyle w:val="ListBullet"/>
        <w:numPr>
          <w:ilvl w:val="0"/>
          <w:numId w:val="1"/>
        </w:numPr>
        <w:rPr>
          <w:rFonts w:ascii="Times New Roman" w:hAnsi="Times New Roman" w:cs="Times New Roman"/>
        </w:rPr>
      </w:pPr>
      <w:r>
        <w:rPr>
          <w:rFonts w:cs="Times New Roman"/>
          <w:sz w:val="22"/>
        </w:rPr>
        <w:t>Adoption constraint: rural farm workers may need training and a simple interface to shift from paper-based routines.</w:t>
      </w:r>
    </w:p>
    <w:p>
      <w:pPr>
        <w:pStyle w:val="ListBullet"/>
        <w:numPr>
          <w:ilvl w:val="0"/>
          <w:numId w:val="1"/>
        </w:numPr>
        <w:rPr>
          <w:rFonts w:ascii="Times New Roman" w:hAnsi="Times New Roman" w:cs="Times New Roman"/>
        </w:rPr>
      </w:pPr>
      <w:r>
        <w:rPr>
          <w:rFonts w:cs="Times New Roman"/>
          <w:sz w:val="22"/>
        </w:rPr>
        <w:t>Connectivity constraint: the design should consider possible network or electricity interruptions.</w:t>
      </w:r>
      <w:r>
        <w:br w:type="page"/>
      </w:r>
    </w:p>
    <w:p>
      <w:pPr>
        <w:pStyle w:val="Heading2"/>
        <w:spacing w:before="0" w:after="0"/>
        <w:rPr>
          <w:rFonts w:ascii="Times New Roman" w:hAnsi="Times New Roman" w:cs="Times New Roman"/>
        </w:rPr>
      </w:pPr>
      <w:bookmarkStart w:id="4" w:name="__RefHeading___Toc1926_3983903345"/>
      <w:bookmarkEnd w:id="4"/>
      <w:r>
        <w:rPr>
          <w:rFonts w:cs="Times New Roman" w:ascii="Times New Roman" w:hAnsi="Times New Roman"/>
        </w:rPr>
        <w:t>1.4 Project Selection Against the Five Textbook Criteria</w:t>
      </w:r>
    </w:p>
    <w:p>
      <w:pPr>
        <w:pStyle w:val="Normal"/>
        <w:jc w:val="center"/>
        <w:rPr>
          <w:rFonts w:ascii="Times New Roman" w:hAnsi="Times New Roman" w:cs="Times New Roman"/>
        </w:rPr>
      </w:pPr>
      <w:r>
        <w:rPr>
          <w:rFonts w:cs="Times New Roman"/>
        </w:rPr>
      </w:r>
    </w:p>
    <w:tbl>
      <w:tblPr>
        <w:tblStyle w:val="TableGrid"/>
        <w:tblW w:w="979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4896"/>
        <w:gridCol w:w="4896"/>
      </w:tblGrid>
      <w:tr>
        <w:trPr/>
        <w:tc>
          <w:tcPr>
            <w:tcW w:w="4896"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Criterion</w:t>
            </w:r>
          </w:p>
        </w:tc>
        <w:tc>
          <w:tcPr>
            <w:tcW w:w="4896"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Assessment for Livestock Management System</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Management backing</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The project has strategic value for the owner because it centralizes farm data and improves reporting. Stakeholder input was available through a conventional livestock farm contact.</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Appropriate timing</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The farm is still manual and paper-based, so the change is timely before the operational scale becomes harder to control.</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Strategic goal improvement</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The system directly supports efficiency, sustainability, better tracking, and improved decision-making.</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Practical resources</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Required technologies exist: web/mobile interface, dashboards, reporting tools, and relational databases. Missing expertise can be hired.</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Worthwhile compared to alternatives</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Keeping the current system preserves data loss and delay. A packaged solution would need heavy customization. A custom web-based system is the most aligned option.</w:t>
            </w:r>
          </w:p>
        </w:tc>
      </w:tr>
    </w:tbl>
    <w:p>
      <w:pPr>
        <w:pStyle w:val="Normal"/>
        <w:jc w:val="center"/>
        <w:rPr>
          <w:rFonts w:ascii="Times New Roman" w:hAnsi="Times New Roman" w:cs="Times New Roman"/>
        </w:rPr>
      </w:pPr>
      <w:r>
        <w:rPr>
          <w:b/>
        </w:rPr>
        <w:t>Table 2: Project Selection Justification</w:t>
      </w:r>
    </w:p>
    <w:p>
      <w:pPr>
        <w:pStyle w:val="Heading1"/>
        <w:rPr>
          <w:rFonts w:ascii="Times New Roman" w:hAnsi="Times New Roman" w:cs="Times New Roman"/>
        </w:rPr>
      </w:pPr>
      <w:bookmarkStart w:id="5" w:name="__RefHeading___Toc1928_3983903345"/>
      <w:bookmarkEnd w:id="5"/>
      <w:r>
        <w:rPr>
          <w:rFonts w:cs="Times New Roman" w:ascii="Times New Roman" w:hAnsi="Times New Roman"/>
        </w:rPr>
        <w:t>2. Project Overview and Data Sources</w:t>
      </w:r>
    </w:p>
    <w:p>
      <w:pPr>
        <w:pStyle w:val="Normal"/>
        <w:rPr>
          <w:rFonts w:ascii="Times New Roman" w:hAnsi="Times New Roman" w:cs="Times New Roman"/>
        </w:rPr>
      </w:pPr>
      <w:r>
        <w:rPr>
          <w:rFonts w:cs="Times New Roman"/>
          <w:sz w:val="22"/>
        </w:rPr>
        <w:t>The selected solution is to replace the manual system with a web-based livestock management application using relational databases. The system should connect resource records, animal health data, daily work schedules, inventory updates, and reporting in one synchronized environment.</w:t>
      </w:r>
    </w:p>
    <w:tbl>
      <w:tblPr>
        <w:tblStyle w:val="TableGrid"/>
        <w:tblW w:w="979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4896"/>
        <w:gridCol w:w="4896"/>
      </w:tblGrid>
      <w:tr>
        <w:trPr/>
        <w:tc>
          <w:tcPr>
            <w:tcW w:w="4896"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Data Area</w:t>
            </w:r>
          </w:p>
        </w:tc>
        <w:tc>
          <w:tcPr>
            <w:tcW w:w="4896"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Source / Basis</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Farm operation context</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Direct line to a conventional livestock farm stakeholder</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Software development cost</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Approximate cost input from the Head of IT of Genex Infosys Ltd.</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Farm resource and operation cost</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Estimated from current manual record-keeping process</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Development and training cost</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Estimated for system analysis, development, database setup by the Head of IT of Genex Infosys Ltd.</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Livestock feed prices</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Collected from ARMAN Feeds and Fisheries Ltd. as stated in the presentation</w:t>
            </w:r>
          </w:p>
        </w:tc>
      </w:tr>
    </w:tbl>
    <w:p>
      <w:pPr>
        <w:pStyle w:val="Normal"/>
        <w:jc w:val="center"/>
        <w:rPr>
          <w:rFonts w:ascii="Times New Roman" w:hAnsi="Times New Roman" w:cs="Times New Roman"/>
        </w:rPr>
      </w:pPr>
      <w:r>
        <w:rPr>
          <w:b/>
        </w:rPr>
        <w:t>Table 3: Data Sources and Estimation Basis</w:t>
      </w:r>
      <w:r>
        <w:br w:type="page"/>
      </w:r>
    </w:p>
    <w:p>
      <w:pPr>
        <w:pStyle w:val="Heading1"/>
        <w:spacing w:before="0" w:after="0"/>
        <w:rPr>
          <w:rFonts w:ascii="Times New Roman" w:hAnsi="Times New Roman" w:cs="Times New Roman"/>
        </w:rPr>
      </w:pPr>
      <w:bookmarkStart w:id="6" w:name="__RefHeading___Toc1930_3983903345"/>
      <w:bookmarkEnd w:id="6"/>
      <w:r>
        <w:rPr>
          <w:rFonts w:cs="Times New Roman" w:ascii="Times New Roman" w:hAnsi="Times New Roman"/>
        </w:rPr>
        <w:t>3. Preliminary Feasibility Assessment</w:t>
      </w:r>
    </w:p>
    <w:p>
      <w:pPr>
        <w:pStyle w:val="Heading2"/>
        <w:rPr>
          <w:rFonts w:ascii="Times New Roman" w:hAnsi="Times New Roman" w:cs="Times New Roman"/>
        </w:rPr>
      </w:pPr>
      <w:bookmarkStart w:id="7" w:name="__RefHeading___Toc1932_3983903345"/>
      <w:bookmarkEnd w:id="7"/>
      <w:r>
        <w:rPr>
          <w:rFonts w:cs="Times New Roman" w:ascii="Times New Roman" w:hAnsi="Times New Roman"/>
        </w:rPr>
        <w:t>3.1 Technical Feasibility</w:t>
      </w:r>
    </w:p>
    <w:p>
      <w:pPr>
        <w:pStyle w:val="Normal"/>
        <w:rPr>
          <w:rFonts w:ascii="Times New Roman" w:hAnsi="Times New Roman" w:cs="Times New Roman"/>
        </w:rPr>
      </w:pPr>
      <w:r>
        <w:rPr>
          <w:rFonts w:cs="Times New Roman"/>
          <w:sz w:val="22"/>
        </w:rPr>
        <w:t>The current farm has no existing software infrastructure, so the project cannot be treated as a small enhancement. A fresh system is required. However, the required technologies are common and available: a web/mobile interface, dashboards, reporting tools, and relational databases. The lack of in-house expertise is a manageable limitation because UI development, backend development, testing, and mobile development can be hired or outsourced.</w:t>
      </w:r>
    </w:p>
    <w:p>
      <w:pPr>
        <w:pStyle w:val="Normal"/>
        <w:rPr>
          <w:rFonts w:ascii="Times New Roman" w:hAnsi="Times New Roman" w:cs="Times New Roman"/>
        </w:rPr>
      </w:pPr>
      <w:r>
        <w:rPr>
          <w:rFonts w:cs="Times New Roman"/>
          <w:sz w:val="22"/>
        </w:rPr>
        <w:t>Packaged software may exist, but it would require customization because poultry, fisheries, and cattle data must be synchronized in a farm-specific way. Therefore, the project is technically feasible if it is built as a modular custom system with clear subsystem integration points.</w:t>
      </w:r>
    </w:p>
    <w:p>
      <w:pPr>
        <w:pStyle w:val="Heading2"/>
        <w:rPr>
          <w:rFonts w:ascii="Times New Roman" w:hAnsi="Times New Roman" w:cs="Times New Roman"/>
        </w:rPr>
      </w:pPr>
      <w:bookmarkStart w:id="8" w:name="__RefHeading___Toc1934_3983903345"/>
      <w:bookmarkEnd w:id="8"/>
      <w:r>
        <w:rPr>
          <w:rFonts w:cs="Times New Roman" w:ascii="Times New Roman" w:hAnsi="Times New Roman"/>
        </w:rPr>
        <w:t>3.2 Economic Feasibility</w:t>
      </w:r>
    </w:p>
    <w:p>
      <w:pPr>
        <w:pStyle w:val="Normal"/>
        <w:rPr>
          <w:rFonts w:ascii="Times New Roman" w:hAnsi="Times New Roman" w:cs="Times New Roman"/>
        </w:rPr>
      </w:pPr>
      <w:r>
        <w:rPr>
          <w:rFonts w:cs="Times New Roman"/>
          <w:sz w:val="22"/>
        </w:rPr>
        <w:t>The economic case is based on a one-time first-year investment and recurring yearly benefits. Major cost items include system analysis, design, outsourced development, database/server setup, employee training, and transition support. The main benefits are reduced manual record-keeping, lower feed mismanagement, faster reports, better inventory control, accountability, and more reliable transaction records.</w:t>
      </w:r>
    </w:p>
    <w:p>
      <w:pPr>
        <w:pStyle w:val="Normal"/>
        <w:rPr/>
      </w:pPr>
      <w:r>
        <w:rPr>
          <w:rFonts w:cs="Times New Roman"/>
          <w:sz w:val="22"/>
        </w:rPr>
        <w:t xml:space="preserve">The capital expenditure of the system is estimated to be around  BDT </w:t>
      </w:r>
      <w:r>
        <w:rPr>
          <w:b w:val="false"/>
          <w:i w:val="false"/>
          <w:strike w:val="false"/>
          <w:dstrike w:val="false"/>
          <w:outline w:val="false"/>
          <w:shadow w:val="false"/>
          <w:color w:val="000000"/>
          <w:sz w:val="22"/>
          <w:u w:val="none"/>
          <w:em w:val="none"/>
        </w:rPr>
        <w:t>16,72,716</w:t>
      </w:r>
      <w:r>
        <w:rPr>
          <w:rFonts w:cs="Times New Roman"/>
          <w:b w:val="false"/>
          <w:i w:val="false"/>
          <w:strike w:val="false"/>
          <w:dstrike w:val="false"/>
          <w:outline w:val="false"/>
          <w:shadow w:val="false"/>
          <w:color w:val="000000"/>
          <w:sz w:val="22"/>
          <w:u w:val="none"/>
          <w:em w:val="none"/>
        </w:rPr>
        <w:t xml:space="preserve"> (see the end of the report for an attached xlsx document for a detailed breakdown of the estimation). Furthermore, an annual maintenance contract (AMC) is included for the system which is taken to be 20% of the capital expenditure of system. The AMC is, thus, calculated to be BDT </w:t>
      </w:r>
      <w:r>
        <w:rPr>
          <w:b w:val="false"/>
          <w:i w:val="false"/>
          <w:strike w:val="false"/>
          <w:dstrike w:val="false"/>
          <w:outline w:val="false"/>
          <w:shadow w:val="false"/>
          <w:color w:val="000000"/>
          <w:sz w:val="22"/>
          <w:u w:val="none"/>
          <w:em w:val="none"/>
        </w:rPr>
        <w:t>394,543, which is to be paid annually starting from the second year.</w:t>
      </w:r>
    </w:p>
    <w:p>
      <w:pPr>
        <w:pStyle w:val="Normal"/>
        <w:bidi w:val="0"/>
        <w:rPr>
          <w:rFonts w:ascii="Times New Roman" w:hAnsi="Times New Roman" w:cs="Times New Roman"/>
          <w:b w:val="false"/>
          <w:i w:val="false"/>
          <w:strike w:val="false"/>
          <w:dstrike w:val="false"/>
          <w:outline w:val="false"/>
          <w:shadow w:val="false"/>
          <w:color w:val="000000"/>
          <w:sz w:val="22"/>
          <w:u w:val="none"/>
          <w:em w:val="none"/>
        </w:rPr>
      </w:pPr>
      <w:r>
        <w:rPr>
          <w:rFonts w:cs="Times New Roman"/>
          <w:b w:val="false"/>
          <w:i w:val="false"/>
          <w:strike w:val="false"/>
          <w:dstrike w:val="false"/>
          <w:outline w:val="false"/>
          <w:shadow w:val="false"/>
          <w:color w:val="000000"/>
          <w:sz w:val="22"/>
          <w:u w:val="none"/>
          <w:em w:val="none"/>
        </w:rPr>
        <w:t>The yearly revenue of the system is estimated to be around BDT 492,000, taking accounts for all the subsystems, ie, the cattle farm, the poultry farm and the fishery.</w:t>
      </w:r>
    </w:p>
    <w:p>
      <w:pPr>
        <w:pStyle w:val="Normal"/>
        <w:rPr/>
      </w:pPr>
      <w:r>
        <w:rPr>
          <w:rFonts w:cs="Times New Roman"/>
          <w:sz w:val="22"/>
        </w:rPr>
        <w:t xml:space="preserve">The first-year result shows a loss of </w:t>
      </w:r>
      <w:r>
        <w:rPr>
          <w:b w:val="false"/>
          <w:i w:val="false"/>
          <w:strike w:val="false"/>
          <w:dstrike w:val="false"/>
          <w:outline w:val="false"/>
          <w:shadow w:val="false"/>
          <w:color w:val="000000"/>
          <w:sz w:val="22"/>
          <w:u w:val="none"/>
          <w:em w:val="none"/>
        </w:rPr>
        <w:t>BDT12,40,716</w:t>
      </w:r>
      <w:r>
        <w:rPr>
          <w:rFonts w:cs="Times New Roman"/>
          <w:sz w:val="22"/>
        </w:rPr>
        <w:t xml:space="preserve">, but from the second year onward the system generates a strong positive return of BDT </w:t>
      </w:r>
      <w:r>
        <w:rPr>
          <w:b w:val="false"/>
          <w:i w:val="false"/>
          <w:strike w:val="false"/>
          <w:dstrike w:val="false"/>
          <w:outline w:val="false"/>
          <w:shadow w:val="false"/>
          <w:color w:val="000000"/>
          <w:sz w:val="22"/>
          <w:u w:val="none"/>
          <w:em w:val="none"/>
        </w:rPr>
        <w:t>97,457</w:t>
      </w:r>
      <w:r>
        <w:rPr>
          <w:rFonts w:cs="Times New Roman"/>
          <w:b w:val="false"/>
          <w:i w:val="false"/>
          <w:strike w:val="false"/>
          <w:dstrike w:val="false"/>
          <w:outline w:val="false"/>
          <w:shadow w:val="false"/>
          <w:color w:val="000000"/>
          <w:sz w:val="22"/>
          <w:u w:val="none"/>
          <w:em w:val="none"/>
        </w:rPr>
        <w:t xml:space="preserve"> </w:t>
      </w:r>
      <w:r>
        <w:rPr>
          <w:rFonts w:cs="Times New Roman"/>
          <w:sz w:val="22"/>
        </w:rPr>
        <w:t>because the initial setup cost is not repeated at the same level. This makes the system economically feasible over more than one year of operation. The system is exepected to break even at 17.16 years or 206 months.</w:t>
      </w:r>
    </w:p>
    <w:p>
      <w:pPr>
        <w:pStyle w:val="Heading2"/>
        <w:rPr>
          <w:rFonts w:ascii="Times New Roman" w:hAnsi="Times New Roman" w:cs="Times New Roman"/>
        </w:rPr>
      </w:pPr>
      <w:bookmarkStart w:id="9" w:name="__RefHeading___Toc1936_3983903345"/>
      <w:bookmarkEnd w:id="9"/>
      <w:r>
        <w:rPr>
          <w:rFonts w:cs="Times New Roman" w:ascii="Times New Roman" w:hAnsi="Times New Roman"/>
        </w:rPr>
        <w:t>3.3 Operational Feasibility</w:t>
      </w:r>
    </w:p>
    <w:p>
      <w:pPr>
        <w:pStyle w:val="Normal"/>
        <w:rPr>
          <w:rFonts w:ascii="Times New Roman" w:hAnsi="Times New Roman" w:cs="Times New Roman"/>
        </w:rPr>
      </w:pPr>
      <w:r>
        <w:rPr>
          <w:rFonts w:cs="Times New Roman"/>
          <w:sz w:val="22"/>
        </w:rPr>
        <w:t>Operational feasibility depends on whether the system will work inside the farm environment and whether users will actually use it. The proposed system improves workflows by replacing scattered paper logs with digital records, centralized reports, daily logs, worker schedules, inventory updates, and health monitoring. User feedback and training are important because farm workers may not be used to digital tools.</w:t>
      </w:r>
    </w:p>
    <w:p>
      <w:pPr>
        <w:pStyle w:val="Normal"/>
        <w:rPr>
          <w:rFonts w:ascii="Times New Roman" w:hAnsi="Times New Roman" w:cs="Times New Roman"/>
          <w:sz w:val="22"/>
        </w:rPr>
      </w:pPr>
      <w:r>
        <w:rPr>
          <w:rFonts w:cs="Times New Roman"/>
          <w:sz w:val="22"/>
        </w:rPr>
        <w:t>The system is operationally feasible if the interface is kept simple, the training is hands-on, and the deployment is gradual. A local-language interface, mobile-friendly screens, and clear confirmation messages should be used to reduce resistance.</w:t>
      </w:r>
      <w:r>
        <w:br w:type="page"/>
      </w:r>
    </w:p>
    <w:p>
      <w:pPr>
        <w:pStyle w:val="Normal"/>
        <w:spacing w:before="0" w:after="200"/>
        <w:jc w:val="center"/>
        <w:rPr>
          <w:rFonts w:ascii="Times New Roman" w:hAnsi="Times New Roman" w:cs="Times New Roman"/>
        </w:rPr>
      </w:pPr>
      <w:r>
        <w:rPr>
          <w:rFonts w:cs="Times New Roman"/>
        </w:rPr>
      </w:r>
    </w:p>
    <w:tbl>
      <w:tblPr>
        <w:tblStyle w:val="TableGrid"/>
        <w:tblW w:w="979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448"/>
        <w:gridCol w:w="2448"/>
        <w:gridCol w:w="2448"/>
        <w:gridCol w:w="2448"/>
      </w:tblGrid>
      <w:tr>
        <w:trPr/>
        <w:tc>
          <w:tcPr>
            <w:tcW w:w="2448"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Feasibility Area</w:t>
            </w:r>
          </w:p>
        </w:tc>
        <w:tc>
          <w:tcPr>
            <w:tcW w:w="2448"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Positive Factors</w:t>
            </w:r>
          </w:p>
        </w:tc>
        <w:tc>
          <w:tcPr>
            <w:tcW w:w="2448"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Main Risk</w:t>
            </w:r>
          </w:p>
        </w:tc>
        <w:tc>
          <w:tcPr>
            <w:tcW w:w="2448"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Conclusion</w:t>
            </w:r>
          </w:p>
        </w:tc>
      </w:tr>
      <w:tr>
        <w:trPr/>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Technical</w:t>
            </w:r>
          </w:p>
        </w:tc>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Available web/mobile, dashboard, reporting, and database technology</w:t>
            </w:r>
          </w:p>
        </w:tc>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No existing software; custom build needed</w:t>
            </w:r>
          </w:p>
        </w:tc>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Feasible</w:t>
            </w:r>
          </w:p>
        </w:tc>
      </w:tr>
      <w:tr>
        <w:trPr/>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Economic</w:t>
            </w:r>
          </w:p>
        </w:tc>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Yearly benefit is close to the initial cost and continues after first year</w:t>
            </w:r>
          </w:p>
        </w:tc>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First year has a small net loss</w:t>
            </w:r>
          </w:p>
        </w:tc>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Feasible</w:t>
            </w:r>
          </w:p>
        </w:tc>
      </w:tr>
      <w:tr>
        <w:trPr/>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Operational</w:t>
            </w:r>
          </w:p>
        </w:tc>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Simple digital workflow improves logs, schedules, inventory, and health records</w:t>
            </w:r>
          </w:p>
        </w:tc>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Possible resistance from manual-system users</w:t>
            </w:r>
          </w:p>
        </w:tc>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Feasible (with training)</w:t>
            </w:r>
          </w:p>
        </w:tc>
      </w:tr>
    </w:tbl>
    <w:p>
      <w:pPr>
        <w:pStyle w:val="Normal"/>
        <w:jc w:val="center"/>
        <w:rPr>
          <w:rFonts w:ascii="Times New Roman" w:hAnsi="Times New Roman" w:cs="Times New Roman"/>
          <w:b/>
          <w:bCs/>
        </w:rPr>
      </w:pPr>
      <w:r>
        <w:rPr>
          <w:rFonts w:cs="Times New Roman"/>
          <w:b/>
          <w:bCs/>
        </w:rPr>
        <w:t>Table 4: T.E.O. Feasibility Summary</w:t>
      </w:r>
    </w:p>
    <w:p>
      <w:pPr>
        <w:pStyle w:val="Heading1"/>
        <w:rPr>
          <w:rFonts w:ascii="Times New Roman" w:hAnsi="Times New Roman" w:cs="Times New Roman"/>
        </w:rPr>
      </w:pPr>
      <w:bookmarkStart w:id="10" w:name="__RefHeading___Toc1938_3983903345"/>
      <w:bookmarkEnd w:id="10"/>
      <w:r>
        <w:rPr>
          <w:rFonts w:cs="Times New Roman" w:ascii="Times New Roman" w:hAnsi="Times New Roman"/>
        </w:rPr>
        <w:t>4. Workload Estimates and Before-After Projection</w:t>
      </w:r>
    </w:p>
    <w:p>
      <w:pPr>
        <w:pStyle w:val="Normal"/>
        <w:rPr>
          <w:rFonts w:ascii="Times New Roman" w:hAnsi="Times New Roman" w:cs="Times New Roman"/>
        </w:rPr>
      </w:pPr>
      <w:r>
        <w:rPr>
          <w:rFonts w:cs="Times New Roman"/>
          <w:sz w:val="22"/>
        </w:rPr>
        <w:t>Workload estimation supports both technical and economic feasibility. The proposed system reduces manual effort, duplicate entry, and reporting delay, while increasing the volume of structured records that can be searched and summarized automatically.</w:t>
      </w:r>
    </w:p>
    <w:tbl>
      <w:tblPr>
        <w:tblStyle w:val="TableGrid"/>
        <w:tblW w:w="979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448"/>
        <w:gridCol w:w="2411"/>
        <w:gridCol w:w="2485"/>
        <w:gridCol w:w="2448"/>
      </w:tblGrid>
      <w:tr>
        <w:trPr/>
        <w:tc>
          <w:tcPr>
            <w:tcW w:w="2448"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Work Area</w:t>
            </w:r>
          </w:p>
        </w:tc>
        <w:tc>
          <w:tcPr>
            <w:tcW w:w="2411"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Current Manual Workload</w:t>
            </w:r>
          </w:p>
        </w:tc>
        <w:tc>
          <w:tcPr>
            <w:tcW w:w="2485"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Proposed System Workload</w:t>
            </w:r>
          </w:p>
        </w:tc>
        <w:tc>
          <w:tcPr>
            <w:tcW w:w="2448"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Expected Effect</w:t>
            </w:r>
          </w:p>
        </w:tc>
      </w:tr>
      <w:tr>
        <w:trPr/>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Daily feed logging</w:t>
            </w:r>
          </w:p>
        </w:tc>
        <w:tc>
          <w:tcPr>
            <w:tcW w:w="2411"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Workers manually write feed usage in registers; data may be incomplete or duplicated.</w:t>
            </w:r>
          </w:p>
        </w:tc>
        <w:tc>
          <w:tcPr>
            <w:tcW w:w="2485"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Workers submit batch-wise feed logs through forms.</w:t>
            </w:r>
          </w:p>
        </w:tc>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Less duplicate work and better inventory depletion tracking.</w:t>
            </w:r>
          </w:p>
        </w:tc>
      </w:tr>
      <w:tr>
        <w:trPr/>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Inventory tracking</w:t>
            </w:r>
          </w:p>
        </w:tc>
        <w:tc>
          <w:tcPr>
            <w:tcW w:w="2411"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Stock levels are checked manually and updated late.</w:t>
            </w:r>
          </w:p>
        </w:tc>
        <w:tc>
          <w:tcPr>
            <w:tcW w:w="2485"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Inventory updates are stored centrally after purchases and usage.</w:t>
            </w:r>
          </w:p>
        </w:tc>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Earlier shortage detection and better control.</w:t>
            </w:r>
          </w:p>
        </w:tc>
      </w:tr>
      <w:tr>
        <w:trPr/>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Health monitoring</w:t>
            </w:r>
          </w:p>
        </w:tc>
        <w:tc>
          <w:tcPr>
            <w:tcW w:w="2411"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Vaccination and treatment notes may stay in separate paper records.</w:t>
            </w:r>
          </w:p>
        </w:tc>
        <w:tc>
          <w:tcPr>
            <w:tcW w:w="2485"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Veterinary and health records are linked to livestock batches.</w:t>
            </w:r>
          </w:p>
        </w:tc>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Fewer missed alerts and better treatment history.</w:t>
            </w:r>
          </w:p>
        </w:tc>
      </w:tr>
      <w:tr>
        <w:trPr/>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Reporting</w:t>
            </w:r>
          </w:p>
        </w:tc>
        <w:tc>
          <w:tcPr>
            <w:tcW w:w="2411"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Owner waits for manually prepared summaries.</w:t>
            </w:r>
          </w:p>
        </w:tc>
        <w:tc>
          <w:tcPr>
            <w:tcW w:w="2485"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Reports and dashboards are generated from stored records.</w:t>
            </w:r>
          </w:p>
        </w:tc>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Faster decision-making and less managerial time.</w:t>
            </w:r>
          </w:p>
        </w:tc>
      </w:tr>
      <w:tr>
        <w:trPr/>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Subsystem coordination</w:t>
            </w:r>
          </w:p>
        </w:tc>
        <w:tc>
          <w:tcPr>
            <w:tcW w:w="2411"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Poultry, fishery, and cattle operations exchange information manually.</w:t>
            </w:r>
          </w:p>
        </w:tc>
        <w:tc>
          <w:tcPr>
            <w:tcW w:w="2485"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Subsystems use synchronized data and shared resource records.</w:t>
            </w:r>
          </w:p>
        </w:tc>
        <w:tc>
          <w:tcPr>
            <w:tcW w:w="244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Improved resource planning and accountability.</w:t>
            </w:r>
          </w:p>
        </w:tc>
      </w:tr>
    </w:tbl>
    <w:p>
      <w:pPr>
        <w:pStyle w:val="Normal"/>
        <w:jc w:val="center"/>
        <w:rPr>
          <w:rFonts w:ascii="Times New Roman" w:hAnsi="Times New Roman" w:cs="Times New Roman"/>
        </w:rPr>
      </w:pPr>
      <w:r>
        <w:rPr>
          <w:b/>
        </w:rPr>
        <w:t>Table 5: Before-and-After Workload Projection</w:t>
      </w:r>
    </w:p>
    <w:tbl>
      <w:tblPr>
        <w:tblStyle w:val="TableGrid"/>
        <w:tblW w:w="979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264"/>
        <w:gridCol w:w="3264"/>
        <w:gridCol w:w="3264"/>
      </w:tblGrid>
      <w:tr>
        <w:trPr/>
        <w:tc>
          <w:tcPr>
            <w:tcW w:w="3264"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Record Type</w:t>
            </w:r>
          </w:p>
        </w:tc>
        <w:tc>
          <w:tcPr>
            <w:tcW w:w="3264"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Estimated Frequency</w:t>
            </w:r>
          </w:p>
        </w:tc>
        <w:tc>
          <w:tcPr>
            <w:tcW w:w="3264"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Main User</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Feed logs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Daily for poultry, fisheries, and cattle batches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Farm Worker</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Inventory updates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Whenever stock is used or replenished</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Manager / Worker</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Health records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At vaccination, examination, or treatment events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Veterinarian / Manager</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Task schedules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Daily or weekly</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Manager</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Reports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Weekly, monthly, or on demand</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Owner / Manager</w:t>
            </w:r>
          </w:p>
        </w:tc>
      </w:tr>
    </w:tbl>
    <w:p>
      <w:pPr>
        <w:pStyle w:val="Normal"/>
        <w:jc w:val="center"/>
        <w:rPr>
          <w:rFonts w:ascii="Times New Roman" w:hAnsi="Times New Roman" w:cs="Times New Roman"/>
        </w:rPr>
      </w:pPr>
      <w:r>
        <w:rPr>
          <w:b/>
        </w:rPr>
        <w:t>Table 6: Estimated Transaction Volume</w:t>
      </w:r>
    </w:p>
    <w:p>
      <w:pPr>
        <w:pStyle w:val="Normal"/>
        <w:rPr>
          <w:rFonts w:ascii="Times New Roman" w:hAnsi="Times New Roman" w:cs="Times New Roman"/>
          <w:sz w:val="22"/>
        </w:rPr>
      </w:pPr>
      <w:r>
        <w:rPr>
          <w:rFonts w:cs="Times New Roman"/>
          <w:sz w:val="22"/>
        </w:rPr>
        <w:t>The technical workload is acceptable because the main records are text, numbers, dates, and status values. Even with daily records across all three subsystems, a relational database can handle the expected storage and query load. The economic workload also improves because the system reduces repeated manual recording and summary preparation.</w:t>
      </w:r>
    </w:p>
    <w:p>
      <w:pPr>
        <w:pStyle w:val="Heading1"/>
        <w:rPr/>
      </w:pPr>
      <w:bookmarkStart w:id="11" w:name="__RefHeading___Toc1940_3983903345"/>
      <w:bookmarkEnd w:id="11"/>
      <w:r>
        <w:rPr/>
        <w:t>5. Cost-Benefit Forecast</w:t>
      </w:r>
    </w:p>
    <w:p>
      <w:pPr>
        <w:pStyle w:val="Heading2"/>
        <w:rPr>
          <w:rFonts w:ascii="Times New Roman" w:hAnsi="Times New Roman" w:cs="Times New Roman"/>
        </w:rPr>
      </w:pPr>
      <w:bookmarkStart w:id="12" w:name="__RefHeading___Toc1942_3983903345"/>
      <w:bookmarkEnd w:id="12"/>
      <w:r>
        <w:rPr>
          <w:rFonts w:cs="Times New Roman" w:ascii="Times New Roman" w:hAnsi="Times New Roman"/>
        </w:rPr>
        <w:t>5.1 Cost Forecast</w:t>
      </w:r>
    </w:p>
    <w:p>
      <w:pPr>
        <w:pStyle w:val="Normal"/>
        <w:rPr>
          <w:rFonts w:ascii="Times New Roman" w:hAnsi="Times New Roman" w:cs="Times New Roman"/>
        </w:rPr>
      </w:pPr>
      <w:r>
        <w:rPr>
          <w:rFonts w:cs="Times New Roman"/>
        </w:rPr>
        <w:t>The cost is estimated in the attached xlsx document, taking the Manday rate to be BDT 7,500. The “CapEx” worksheet provides the details on the factors considered and their estimated Mandays required, The “Development Expense” worksheet provides a detailed breakdown of the numerous factors related to the actual coding part of the development lifecycle. The summary of the cost analysis is show here.</w:t>
      </w:r>
    </w:p>
    <w:tbl>
      <w:tblPr>
        <w:tblStyle w:val="TableGrid"/>
        <w:tblW w:w="979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624"/>
        <w:gridCol w:w="2904"/>
        <w:gridCol w:w="3264"/>
      </w:tblGrid>
      <w:tr>
        <w:trPr/>
        <w:tc>
          <w:tcPr>
            <w:tcW w:w="3624"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Cost Item</w:t>
            </w:r>
          </w:p>
        </w:tc>
        <w:tc>
          <w:tcPr>
            <w:tcW w:w="2904"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Estimated Mandays</w:t>
            </w:r>
          </w:p>
        </w:tc>
        <w:tc>
          <w:tcPr>
            <w:tcW w:w="3264"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Estimated Cost (BDT)</w:t>
            </w:r>
          </w:p>
        </w:tc>
      </w:tr>
      <w:tr>
        <w:trPr/>
        <w:tc>
          <w:tcPr>
            <w:tcW w:w="362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Requirement Analysis</w:t>
            </w:r>
          </w:p>
        </w:tc>
        <w:tc>
          <w:tcPr>
            <w:tcW w:w="290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10.88</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81,600</w:t>
            </w:r>
          </w:p>
        </w:tc>
      </w:tr>
      <w:tr>
        <w:trPr/>
        <w:tc>
          <w:tcPr>
            <w:tcW w:w="3624" w:type="dxa"/>
            <w:tcBorders/>
            <w:vAlign w:val="center"/>
          </w:tcPr>
          <w:p>
            <w:pPr>
              <w:pStyle w:val="Normal"/>
              <w:widowControl/>
              <w:suppressAutoHyphens w:val="true"/>
              <w:spacing w:lineRule="auto" w:line="240" w:before="0" w:after="0"/>
              <w:jc w:val="left"/>
              <w:rPr>
                <w:rFonts w:ascii="Times New Roman" w:hAnsi="Times New Roman" w:eastAsia="ＭＳ 明朝" w:cs="Times New Roman"/>
                <w:b w:val="false"/>
                <w:kern w:val="0"/>
                <w:sz w:val="20"/>
                <w:szCs w:val="22"/>
                <w:lang w:val="en-US" w:eastAsia="en-US" w:bidi="ar-SA"/>
              </w:rPr>
            </w:pPr>
            <w:r>
              <w:rPr>
                <w:rFonts w:eastAsia="ＭＳ 明朝" w:cs="Times New Roman"/>
                <w:b w:val="false"/>
                <w:kern w:val="0"/>
                <w:sz w:val="20"/>
                <w:szCs w:val="22"/>
                <w:lang w:val="en-US" w:eastAsia="en-US" w:bidi="ar-SA"/>
              </w:rPr>
              <w:t>Feasibility Study</w:t>
            </w:r>
          </w:p>
        </w:tc>
        <w:tc>
          <w:tcPr>
            <w:tcW w:w="290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4.17</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31,275</w:t>
            </w:r>
          </w:p>
        </w:tc>
      </w:tr>
      <w:tr>
        <w:trPr/>
        <w:tc>
          <w:tcPr>
            <w:tcW w:w="3624" w:type="dxa"/>
            <w:tcBorders>
              <w:top w:val="nil"/>
            </w:tcBorders>
            <w:vAlign w:val="center"/>
          </w:tcPr>
          <w:p>
            <w:pPr>
              <w:pStyle w:val="Normal"/>
              <w:widowControl/>
              <w:suppressAutoHyphens w:val="true"/>
              <w:spacing w:lineRule="auto" w:line="240" w:before="0" w:after="0"/>
              <w:jc w:val="left"/>
              <w:rPr>
                <w:rFonts w:ascii="Times New Roman" w:hAnsi="Times New Roman" w:eastAsia="ＭＳ 明朝" w:cs="Times New Roman"/>
                <w:b w:val="false"/>
                <w:kern w:val="0"/>
                <w:sz w:val="20"/>
                <w:szCs w:val="22"/>
                <w:lang w:val="en-US" w:eastAsia="en-US" w:bidi="ar-SA"/>
              </w:rPr>
            </w:pPr>
            <w:r>
              <w:rPr>
                <w:rFonts w:eastAsia="ＭＳ 明朝" w:cs="Times New Roman"/>
                <w:b w:val="false"/>
                <w:kern w:val="0"/>
                <w:sz w:val="20"/>
                <w:szCs w:val="22"/>
                <w:lang w:val="en-US" w:eastAsia="en-US" w:bidi="ar-SA"/>
              </w:rPr>
              <w:t>System Design</w:t>
            </w:r>
          </w:p>
        </w:tc>
        <w:tc>
          <w:tcPr>
            <w:tcW w:w="2904" w:type="dxa"/>
            <w:tcBorders>
              <w:top w:val="nil"/>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cs="Times New Roman"/>
                <w:sz w:val="22"/>
              </w:rPr>
              <w:t>27.00</w:t>
            </w:r>
          </w:p>
        </w:tc>
        <w:tc>
          <w:tcPr>
            <w:tcW w:w="3264" w:type="dxa"/>
            <w:tcBorders>
              <w:top w:val="nil"/>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202,500</w:t>
            </w:r>
          </w:p>
        </w:tc>
      </w:tr>
      <w:tr>
        <w:trPr>
          <w:trHeight w:val="290" w:hRule="atLeast"/>
        </w:trPr>
        <w:tc>
          <w:tcPr>
            <w:tcW w:w="362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Development / Coding</w:t>
            </w:r>
          </w:p>
        </w:tc>
        <w:tc>
          <w:tcPr>
            <w:tcW w:w="290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131.87</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989,025</w:t>
            </w:r>
          </w:p>
        </w:tc>
      </w:tr>
      <w:tr>
        <w:trPr/>
        <w:tc>
          <w:tcPr>
            <w:tcW w:w="362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Testing</w:t>
            </w:r>
          </w:p>
        </w:tc>
        <w:tc>
          <w:tcPr>
            <w:tcW w:w="290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19.83</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55,000</w:t>
            </w:r>
          </w:p>
        </w:tc>
      </w:tr>
      <w:tr>
        <w:trPr/>
        <w:tc>
          <w:tcPr>
            <w:tcW w:w="3624" w:type="dxa"/>
            <w:tcBorders>
              <w:top w:val="nil"/>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cs="Times New Roman"/>
                <w:sz w:val="22"/>
              </w:rPr>
              <w:t>Training and Transition</w:t>
            </w:r>
          </w:p>
        </w:tc>
        <w:tc>
          <w:tcPr>
            <w:tcW w:w="2904" w:type="dxa"/>
            <w:tcBorders>
              <w:top w:val="nil"/>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cs="Times New Roman"/>
                <w:sz w:val="22"/>
              </w:rPr>
              <w:t>5.17</w:t>
            </w:r>
          </w:p>
        </w:tc>
        <w:tc>
          <w:tcPr>
            <w:tcW w:w="3264" w:type="dxa"/>
            <w:tcBorders>
              <w:top w:val="nil"/>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cs="Times New Roman"/>
                <w:sz w:val="22"/>
              </w:rPr>
              <w:t>38,775</w:t>
            </w:r>
          </w:p>
        </w:tc>
      </w:tr>
      <w:tr>
        <w:trPr/>
        <w:tc>
          <w:tcPr>
            <w:tcW w:w="362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Deployment / Implementation</w:t>
            </w:r>
          </w:p>
        </w:tc>
        <w:tc>
          <w:tcPr>
            <w:tcW w:w="2904" w:type="dxa"/>
            <w:tcBorders/>
            <w:vAlign w:val="center"/>
          </w:tcPr>
          <w:p>
            <w:pPr>
              <w:pStyle w:val="Normal"/>
              <w:widowControl/>
              <w:suppressAutoHyphens w:val="true"/>
              <w:spacing w:lineRule="auto" w:line="240" w:before="0" w:after="0"/>
              <w:jc w:val="left"/>
              <w:rPr>
                <w:rFonts w:ascii="Times New Roman" w:hAnsi="Times New Roman" w:eastAsia="ＭＳ 明朝" w:cs="Times New Roman"/>
                <w:kern w:val="0"/>
                <w:sz w:val="22"/>
                <w:szCs w:val="22"/>
                <w:lang w:val="en-US" w:eastAsia="en-US" w:bidi="ar-SA"/>
              </w:rPr>
            </w:pPr>
            <w:r>
              <w:rPr>
                <w:rFonts w:eastAsia="ＭＳ 明朝" w:cs="Times New Roman"/>
                <w:kern w:val="0"/>
                <w:sz w:val="22"/>
                <w:szCs w:val="22"/>
                <w:lang w:val="en-US" w:eastAsia="en-US" w:bidi="ar-SA"/>
              </w:rPr>
              <w:t>13.50</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101,250</w:t>
            </w:r>
          </w:p>
        </w:tc>
      </w:tr>
      <w:tr>
        <w:trPr/>
        <w:tc>
          <w:tcPr>
            <w:tcW w:w="3624" w:type="dxa"/>
            <w:tcBorders>
              <w:top w:val="nil"/>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Total first-year cost</w:t>
            </w:r>
          </w:p>
        </w:tc>
        <w:tc>
          <w:tcPr>
            <w:tcW w:w="2904" w:type="dxa"/>
            <w:tcBorders>
              <w:top w:val="nil"/>
            </w:tcBorders>
            <w:vAlign w:val="center"/>
          </w:tcPr>
          <w:p>
            <w:pPr>
              <w:pStyle w:val="Normal"/>
              <w:widowControl/>
              <w:suppressAutoHyphens w:val="true"/>
              <w:spacing w:lineRule="auto" w:line="240" w:before="0" w:after="0"/>
              <w:jc w:val="left"/>
              <w:rPr>
                <w:rFonts w:ascii="Times New Roman" w:hAnsi="Times New Roman" w:eastAsia="ＭＳ 明朝" w:cs="Times New Roman"/>
                <w:kern w:val="0"/>
                <w:sz w:val="22"/>
                <w:szCs w:val="22"/>
                <w:lang w:val="en-US" w:eastAsia="en-US" w:bidi="ar-SA"/>
              </w:rPr>
            </w:pPr>
            <w:r>
              <w:rPr>
                <w:rFonts w:eastAsia="ＭＳ 明朝" w:cs="Times New Roman"/>
                <w:kern w:val="0"/>
                <w:sz w:val="22"/>
                <w:szCs w:val="22"/>
                <w:lang w:val="en-US" w:eastAsia="en-US" w:bidi="ar-SA"/>
              </w:rPr>
              <w:t>212.41</w:t>
            </w:r>
          </w:p>
        </w:tc>
        <w:tc>
          <w:tcPr>
            <w:tcW w:w="3264" w:type="dxa"/>
            <w:tcBorders>
              <w:top w:val="nil"/>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cs="Times New Roman"/>
                <w:sz w:val="22"/>
              </w:rPr>
              <w:t>1,593,069</w:t>
            </w:r>
          </w:p>
        </w:tc>
      </w:tr>
      <w:tr>
        <w:trPr>
          <w:trHeight w:val="297" w:hRule="atLeast"/>
        </w:trPr>
        <w:tc>
          <w:tcPr>
            <w:tcW w:w="3624" w:type="dxa"/>
            <w:tcBorders>
              <w:top w:val="nil"/>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Total first-year cost + 5% contengency</w:t>
            </w:r>
          </w:p>
        </w:tc>
        <w:tc>
          <w:tcPr>
            <w:tcW w:w="2904" w:type="dxa"/>
            <w:tcBorders>
              <w:top w:val="nil"/>
            </w:tcBorders>
            <w:vAlign w:val="center"/>
          </w:tcPr>
          <w:p>
            <w:pPr>
              <w:pStyle w:val="Normal"/>
              <w:widowControl/>
              <w:suppressAutoHyphens w:val="true"/>
              <w:spacing w:lineRule="auto" w:line="240" w:before="0" w:after="0"/>
              <w:jc w:val="left"/>
              <w:rPr>
                <w:rFonts w:ascii="Times New Roman" w:hAnsi="Times New Roman" w:eastAsia="ＭＳ 明朝" w:cs="Times New Roman"/>
                <w:kern w:val="0"/>
                <w:sz w:val="22"/>
                <w:szCs w:val="22"/>
                <w:lang w:val="en-US" w:eastAsia="en-US" w:bidi="ar-SA"/>
              </w:rPr>
            </w:pPr>
            <w:r>
              <w:rPr>
                <w:rFonts w:eastAsia="ＭＳ 明朝" w:cs="Times New Roman"/>
                <w:kern w:val="0"/>
                <w:sz w:val="22"/>
                <w:szCs w:val="22"/>
                <w:lang w:val="en-US" w:eastAsia="en-US" w:bidi="ar-SA"/>
              </w:rPr>
            </w:r>
          </w:p>
        </w:tc>
        <w:tc>
          <w:tcPr>
            <w:tcW w:w="3264" w:type="dxa"/>
            <w:tcBorders>
              <w:top w:val="nil"/>
            </w:tcBorders>
            <w:vAlign w:val="center"/>
          </w:tcPr>
          <w:p>
            <w:pPr>
              <w:pStyle w:val="TableContents"/>
              <w:spacing w:before="0" w:after="200"/>
              <w:jc w:val="left"/>
              <w:rPr>
                <w:rFonts w:ascii="Times New Roman" w:hAnsi="Times New Roman"/>
                <w:b/>
                <w:bCs/>
                <w:color w:val="000000"/>
              </w:rPr>
            </w:pPr>
            <w:r>
              <w:rPr>
                <w:b/>
                <w:bCs/>
                <w:color w:val="000000"/>
              </w:rPr>
              <w:t>1,672,716</w:t>
            </w:r>
          </w:p>
        </w:tc>
      </w:tr>
    </w:tbl>
    <w:p>
      <w:pPr>
        <w:pStyle w:val="Normal"/>
        <w:jc w:val="center"/>
        <w:rPr>
          <w:rFonts w:ascii="Times New Roman" w:hAnsi="Times New Roman" w:cs="Times New Roman"/>
        </w:rPr>
      </w:pPr>
      <w:r>
        <w:rPr>
          <w:rFonts w:cs="Times New Roman"/>
          <w:b/>
        </w:rPr>
        <w:t>Table 7: Capital Expenditure</w:t>
      </w:r>
    </w:p>
    <w:p>
      <w:pPr>
        <w:pStyle w:val="Heading2"/>
        <w:rPr>
          <w:rFonts w:ascii="Times New Roman" w:hAnsi="Times New Roman" w:cs="Times New Roman"/>
        </w:rPr>
      </w:pPr>
      <w:bookmarkStart w:id="13" w:name="__RefHeading___Toc1944_3983903345"/>
      <w:bookmarkEnd w:id="13"/>
      <w:r>
        <w:rPr>
          <w:rFonts w:cs="Times New Roman" w:ascii="Times New Roman" w:hAnsi="Times New Roman"/>
        </w:rPr>
        <w:t>5.2 Benefit Forecast</w:t>
      </w:r>
    </w:p>
    <w:tbl>
      <w:tblPr>
        <w:tblStyle w:val="TableGrid"/>
        <w:tblW w:w="979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264"/>
        <w:gridCol w:w="3264"/>
        <w:gridCol w:w="3264"/>
      </w:tblGrid>
      <w:tr>
        <w:trPr/>
        <w:tc>
          <w:tcPr>
            <w:tcW w:w="3264"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Benefit Item</w:t>
            </w:r>
          </w:p>
        </w:tc>
        <w:tc>
          <w:tcPr>
            <w:tcW w:w="3264"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Basis</w:t>
            </w:r>
          </w:p>
        </w:tc>
        <w:tc>
          <w:tcPr>
            <w:tcW w:w="3264"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Estimated Benefit (BDT/year)</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Reduced manual record-keeping effort</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(BDT 30,000 manager effort - BDT 15,000 data insertion) x 12 months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180,000</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Reduced cattle feed mismanagement</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10 x 25 kg cattle feed packets x 12 months for around 20 cows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140,000</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Reduced poultry feed mismanagement</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2 x 50 kg chicken feed sacks x 12 months for around 1,000 chickens</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60,000</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Reduced fish feed mismanagement</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5 x 25 kg fish feed sacks x 12 months for around 5-acre mixed carp pond</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100,000</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Faster reporting and decision-making</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Estimated 5% operational upscaling effect</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12,000</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Better inventory control</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Reduced overstocking/shortage and improved stock visibility</w:t>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10,000</w:t>
            </w:r>
          </w:p>
        </w:tc>
      </w:tr>
      <w:tr>
        <w:trPr/>
        <w:tc>
          <w:tcPr>
            <w:tcW w:w="326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Total yearly benefit</w:t>
            </w:r>
          </w:p>
        </w:tc>
        <w:tc>
          <w:tcPr>
            <w:tcW w:w="3264" w:type="dxa"/>
            <w:tcBorders/>
            <w:vAlign w:val="center"/>
          </w:tcPr>
          <w:p>
            <w:pPr>
              <w:pStyle w:val="Normal"/>
              <w:widowControl/>
              <w:suppressAutoHyphens w:val="true"/>
              <w:spacing w:lineRule="auto" w:line="240" w:before="0" w:after="0"/>
              <w:jc w:val="left"/>
              <w:rPr>
                <w:rFonts w:ascii="Times New Roman" w:hAnsi="Times New Roman" w:eastAsia="ＭＳ 明朝" w:cs="Times New Roman"/>
                <w:kern w:val="0"/>
                <w:sz w:val="22"/>
                <w:szCs w:val="22"/>
                <w:lang w:val="en-US" w:eastAsia="en-US" w:bidi="ar-SA"/>
              </w:rPr>
            </w:pPr>
            <w:r>
              <w:rPr>
                <w:rFonts w:eastAsia="ＭＳ 明朝" w:cs="Times New Roman"/>
                <w:kern w:val="0"/>
                <w:sz w:val="22"/>
                <w:szCs w:val="22"/>
                <w:lang w:val="en-US" w:eastAsia="en-US" w:bidi="ar-SA"/>
              </w:rPr>
            </w:r>
          </w:p>
        </w:tc>
        <w:tc>
          <w:tcPr>
            <w:tcW w:w="3264" w:type="dxa"/>
            <w:tcBorders/>
            <w:vAlign w:val="center"/>
          </w:tcPr>
          <w:p>
            <w:pPr>
              <w:pStyle w:val="Normal"/>
              <w:widowControl/>
              <w:suppressAutoHyphens w:val="true"/>
              <w:spacing w:lineRule="auto" w:line="240" w:before="0" w:after="0"/>
              <w:jc w:val="left"/>
              <w:rPr>
                <w:rFonts w:ascii="Times New Roman" w:hAnsi="Times New Roman" w:cs="Times New Roman"/>
                <w:b/>
                <w:bCs/>
                <w:sz w:val="22"/>
              </w:rPr>
            </w:pPr>
            <w:r>
              <w:rPr>
                <w:rFonts w:eastAsia="ＭＳ 明朝" w:cs="Times New Roman"/>
                <w:b/>
                <w:bCs/>
                <w:kern w:val="0"/>
                <w:sz w:val="20"/>
                <w:szCs w:val="22"/>
                <w:lang w:val="en-US" w:eastAsia="en-US" w:bidi="ar-SA"/>
              </w:rPr>
              <w:t>492,000</w:t>
            </w:r>
          </w:p>
        </w:tc>
      </w:tr>
    </w:tbl>
    <w:p>
      <w:pPr>
        <w:pStyle w:val="Normal"/>
        <w:jc w:val="center"/>
        <w:rPr>
          <w:rFonts w:ascii="Times New Roman" w:hAnsi="Times New Roman" w:cs="Times New Roman"/>
        </w:rPr>
      </w:pPr>
      <w:r>
        <w:rPr>
          <w:b/>
        </w:rPr>
        <w:t>Table 8: Yearly Benefit Forecast</w:t>
      </w:r>
      <w:r>
        <w:br w:type="page"/>
      </w:r>
    </w:p>
    <w:p>
      <w:pPr>
        <w:pStyle w:val="Heading2"/>
        <w:spacing w:before="0" w:after="0"/>
        <w:rPr>
          <w:rFonts w:ascii="Times New Roman" w:hAnsi="Times New Roman" w:cs="Times New Roman"/>
        </w:rPr>
      </w:pPr>
      <w:bookmarkStart w:id="14" w:name="__RefHeading___Toc1946_3983903345"/>
      <w:bookmarkEnd w:id="14"/>
      <w:r>
        <w:rPr>
          <w:rFonts w:cs="Times New Roman" w:ascii="Times New Roman" w:hAnsi="Times New Roman"/>
        </w:rPr>
        <w:t>5.3 Tangible and Intangible Benefits</w:t>
      </w:r>
    </w:p>
    <w:tbl>
      <w:tblPr>
        <w:tblStyle w:val="TableGrid"/>
        <w:tblW w:w="979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238"/>
        <w:gridCol w:w="6554"/>
      </w:tblGrid>
      <w:tr>
        <w:trPr/>
        <w:tc>
          <w:tcPr>
            <w:tcW w:w="3238"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Category</w:t>
            </w:r>
          </w:p>
        </w:tc>
        <w:tc>
          <w:tcPr>
            <w:tcW w:w="6554"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Items</w:t>
            </w:r>
          </w:p>
        </w:tc>
      </w:tr>
      <w:tr>
        <w:trPr/>
        <w:tc>
          <w:tcPr>
            <w:tcW w:w="323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Tangible benefits</w:t>
            </w:r>
          </w:p>
        </w:tc>
        <w:tc>
          <w:tcPr>
            <w:tcW w:w="655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Reduced labor effort, reduced feed waste, better inventory control, faster reporting value</w:t>
            </w:r>
          </w:p>
        </w:tc>
      </w:tr>
      <w:tr>
        <w:trPr/>
        <w:tc>
          <w:tcPr>
            <w:tcW w:w="323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Intangible benefits</w:t>
            </w:r>
          </w:p>
        </w:tc>
        <w:tc>
          <w:tcPr>
            <w:tcW w:w="655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Improved data accuracy, stronger accountability, better decision confidence, lower risk of missed vaccination or health follow-up</w:t>
            </w:r>
          </w:p>
        </w:tc>
      </w:tr>
      <w:tr>
        <w:trPr/>
        <w:tc>
          <w:tcPr>
            <w:tcW w:w="323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Tangible costs</w:t>
            </w:r>
          </w:p>
        </w:tc>
        <w:tc>
          <w:tcPr>
            <w:tcW w:w="655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Analysis, development, database/server setup, training, transition</w:t>
            </w:r>
          </w:p>
        </w:tc>
      </w:tr>
      <w:tr>
        <w:trPr/>
        <w:tc>
          <w:tcPr>
            <w:tcW w:w="3238"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Intangible costs/risks</w:t>
            </w:r>
          </w:p>
        </w:tc>
        <w:tc>
          <w:tcPr>
            <w:tcW w:w="6554"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Temporary learning curve, possible resistance, transition disruption, dependency on power/network availability</w:t>
            </w:r>
          </w:p>
        </w:tc>
      </w:tr>
    </w:tbl>
    <w:p>
      <w:pPr>
        <w:pStyle w:val="Normal"/>
        <w:jc w:val="center"/>
        <w:rPr>
          <w:rFonts w:ascii="Times New Roman" w:hAnsi="Times New Roman" w:cs="Times New Roman"/>
        </w:rPr>
      </w:pPr>
      <w:r>
        <w:rPr>
          <w:b/>
        </w:rPr>
        <w:t>Table 9: Tangible and Intangible Cost-Benefit View</w:t>
      </w:r>
    </w:p>
    <w:p>
      <w:pPr>
        <w:pStyle w:val="Heading1"/>
        <w:rPr>
          <w:rFonts w:ascii="Times New Roman" w:hAnsi="Times New Roman" w:cs="Times New Roman"/>
        </w:rPr>
      </w:pPr>
      <w:bookmarkStart w:id="15" w:name="__RefHeading___Toc1948_3983903345"/>
      <w:bookmarkEnd w:id="15"/>
      <w:r>
        <w:rPr>
          <w:rFonts w:cs="Times New Roman" w:ascii="Times New Roman" w:hAnsi="Times New Roman"/>
        </w:rPr>
        <w:t>6. Break-Even and Payback Analysis</w:t>
      </w:r>
    </w:p>
    <w:p>
      <w:pPr>
        <w:pStyle w:val="Normal"/>
        <w:rPr>
          <w:rFonts w:ascii="Times New Roman" w:hAnsi="Times New Roman" w:cs="Times New Roman"/>
        </w:rPr>
      </w:pPr>
      <w:r>
        <w:rPr>
          <w:rFonts w:cs="Times New Roman"/>
          <w:sz w:val="22"/>
        </w:rPr>
        <w:t>The cost-benefit comparison uses BDT 510,000 as the initial investment and BDT 492,000 as the expected yearly benefit. The monthly benefit is calculated as BDT 492,000 / 12 = BDT 41,000.</w:t>
      </w:r>
    </w:p>
    <w:tbl>
      <w:tblPr>
        <w:tblStyle w:val="TableGrid"/>
        <w:tblW w:w="979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4896"/>
        <w:gridCol w:w="4896"/>
      </w:tblGrid>
      <w:tr>
        <w:trPr/>
        <w:tc>
          <w:tcPr>
            <w:tcW w:w="4896"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Item</w:t>
            </w:r>
          </w:p>
        </w:tc>
        <w:tc>
          <w:tcPr>
            <w:tcW w:w="4896" w:type="dxa"/>
            <w:tcBorders/>
            <w:shd w:fill="D9EAF7" w:val="clear"/>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kern w:val="0"/>
                <w:sz w:val="20"/>
                <w:szCs w:val="22"/>
                <w:lang w:val="en-US" w:eastAsia="en-US" w:bidi="ar-SA"/>
              </w:rPr>
              <w:t>Amount</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Initial / first-year project cost</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BDT 510,000</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Expected yearly benefit</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BDT 492,000</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Monthly benefit</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BDT 41,000</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First-year net position</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BDT 18,000 loss</w:t>
            </w:r>
          </w:p>
        </w:tc>
      </w:tr>
      <w:tr>
        <w:trPr/>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Second-year cumulative position</w:t>
            </w:r>
          </w:p>
        </w:tc>
        <w:tc>
          <w:tcPr>
            <w:tcW w:w="4896" w:type="dxa"/>
            <w:tcBorders/>
            <w:vAlign w:val="center"/>
          </w:tcPr>
          <w:p>
            <w:pPr>
              <w:pStyle w:val="Normal"/>
              <w:widowControl/>
              <w:suppressAutoHyphens w:val="true"/>
              <w:spacing w:lineRule="auto" w:line="240" w:before="0" w:after="0"/>
              <w:jc w:val="left"/>
              <w:rPr>
                <w:rFonts w:ascii="Times New Roman" w:hAnsi="Times New Roman" w:cs="Times New Roman"/>
                <w:sz w:val="22"/>
              </w:rPr>
            </w:pPr>
            <w:r>
              <w:rPr>
                <w:rFonts w:eastAsia="ＭＳ 明朝" w:cs="Times New Roman"/>
                <w:b w:val="false"/>
                <w:kern w:val="0"/>
                <w:sz w:val="20"/>
                <w:szCs w:val="22"/>
                <w:lang w:val="en-US" w:eastAsia="en-US" w:bidi="ar-SA"/>
              </w:rPr>
              <w:t>BDT 474,000 gain</w:t>
            </w:r>
          </w:p>
        </w:tc>
      </w:tr>
    </w:tbl>
    <w:p>
      <w:pPr>
        <w:pStyle w:val="Normal"/>
        <w:jc w:val="center"/>
        <w:rPr>
          <w:rFonts w:ascii="Times New Roman" w:hAnsi="Times New Roman" w:cs="Times New Roman"/>
        </w:rPr>
      </w:pPr>
      <w:r>
        <w:rPr>
          <w:b/>
        </w:rPr>
        <w:t>Table 10: Cost-Benefit Summary</w:t>
      </w:r>
    </w:p>
    <w:p>
      <w:pPr>
        <w:pStyle w:val="Heading2"/>
        <w:rPr>
          <w:rFonts w:ascii="Times New Roman" w:hAnsi="Times New Roman" w:cs="Times New Roman"/>
        </w:rPr>
      </w:pPr>
      <w:bookmarkStart w:id="16" w:name="__RefHeading___Toc1950_3983903345"/>
      <w:bookmarkEnd w:id="16"/>
      <w:r>
        <w:rPr>
          <w:rFonts w:cs="Times New Roman" w:ascii="Times New Roman" w:hAnsi="Times New Roman"/>
        </w:rPr>
        <w:t>6.1 Payback Period</w:t>
      </w:r>
    </w:p>
    <w:p>
      <w:pPr>
        <w:pStyle w:val="Normal"/>
        <w:rPr>
          <w:rFonts w:ascii="Times New Roman" w:hAnsi="Times New Roman" w:cs="Times New Roman"/>
        </w:rPr>
      </w:pPr>
      <w:r>
        <w:rPr>
          <w:rFonts w:cs="Times New Roman"/>
          <w:sz w:val="22"/>
        </w:rPr>
        <w:t>Payback period measures the time needed for accumulated benefits to recover the initial investment.</w:t>
      </w:r>
    </w:p>
    <w:p>
      <w:pPr>
        <w:pStyle w:val="Normal"/>
        <w:rPr>
          <w:rFonts w:ascii="Times New Roman" w:hAnsi="Times New Roman" w:cs="Times New Roman"/>
        </w:rPr>
      </w:pPr>
      <w:r>
        <w:rPr>
          <w:rFonts w:cs="Times New Roman"/>
          <w:sz w:val="22"/>
        </w:rPr>
        <w:t>Payback Period = Initial Investment / Annual Benefit = 510,000 / 492,000 = 1.0366 years.</w:t>
      </w:r>
    </w:p>
    <w:p>
      <w:pPr>
        <w:pStyle w:val="Normal"/>
        <w:rPr>
          <w:rFonts w:ascii="Times New Roman" w:hAnsi="Times New Roman" w:cs="Times New Roman"/>
        </w:rPr>
      </w:pPr>
      <w:r>
        <w:rPr>
          <w:rFonts w:cs="Times New Roman"/>
          <w:sz w:val="22"/>
        </w:rPr>
        <w:t>In months, 1.0366 x 12 = 12.44 months. Therefore, the system is expected to recover its first-year investment in about 12.5 months, or approximately 13 months.</w:t>
      </w:r>
    </w:p>
    <w:p>
      <w:pPr>
        <w:pStyle w:val="Heading2"/>
        <w:rPr>
          <w:rFonts w:ascii="Times New Roman" w:hAnsi="Times New Roman" w:cs="Times New Roman"/>
        </w:rPr>
      </w:pPr>
      <w:bookmarkStart w:id="17" w:name="__RefHeading___Toc1952_3983903345"/>
      <w:bookmarkEnd w:id="17"/>
      <w:r>
        <w:rPr>
          <w:rFonts w:cs="Times New Roman" w:ascii="Times New Roman" w:hAnsi="Times New Roman"/>
        </w:rPr>
        <w:t>6.2 Break-Even Point</w:t>
      </w:r>
    </w:p>
    <w:p>
      <w:pPr>
        <w:pStyle w:val="Normal"/>
        <w:rPr>
          <w:rFonts w:ascii="Times New Roman" w:hAnsi="Times New Roman" w:cs="Times New Roman"/>
        </w:rPr>
      </w:pPr>
      <w:r>
        <w:rPr>
          <w:rFonts w:cs="Times New Roman"/>
          <w:sz w:val="22"/>
        </w:rPr>
        <w:t>Break-even occurs when total benefits become equal to total cost.</w:t>
      </w:r>
    </w:p>
    <w:p>
      <w:pPr>
        <w:pStyle w:val="Normal"/>
        <w:rPr>
          <w:rFonts w:ascii="Times New Roman" w:hAnsi="Times New Roman" w:cs="Times New Roman"/>
        </w:rPr>
      </w:pPr>
      <w:r>
        <w:rPr>
          <w:rFonts w:cs="Times New Roman"/>
          <w:sz w:val="22"/>
        </w:rPr>
        <w:t>Break-Even Point = Initial Investment / Monthly Benefit = 510,000 / 41,000 = 12.43 months.</w:t>
      </w:r>
    </w:p>
    <w:p>
      <w:pPr>
        <w:pStyle w:val="Normal"/>
        <w:spacing w:before="0" w:after="200"/>
        <w:rPr>
          <w:rFonts w:ascii="Times New Roman" w:hAnsi="Times New Roman" w:cs="Times New Roman"/>
        </w:rPr>
      </w:pPr>
      <w:r>
        <w:rPr>
          <w:rFonts w:cs="Times New Roman"/>
          <w:sz w:val="22"/>
        </w:rPr>
        <w:t>The break-even point is therefore approximately 13 months. After this point, the accumulated financial benefits exceed the estimated initial cost.</w:t>
      </w:r>
    </w:p>
    <w:p>
      <w:pPr>
        <w:pStyle w:val="Heading1"/>
        <w:rPr/>
      </w:pPr>
      <w:r>
        <w:rPr/>
        <w:t>7. Financial Estimation Spreadsheets</w:t>
      </w:r>
    </w:p>
    <w:p>
      <w:pPr>
        <w:pStyle w:val="Normal"/>
        <w:spacing w:before="0" w:after="200"/>
        <w:rPr/>
      </w:pPr>
      <w:r>
        <w:rPr/>
        <w:t xml:space="preserve">A detailed look into the financial estimations that were done in the making of this report is presented </w:t>
      </w:r>
      <w:hyperlink r:id="rId2">
        <w:r>
          <w:rPr>
            <w:rStyle w:val="Hyperlink"/>
          </w:rPr>
          <w:t>here</w:t>
        </w:r>
      </w:hyperlink>
      <w:r>
        <w:rPr/>
        <w:t>.</w:t>
      </w:r>
    </w:p>
    <w:sectPr>
      <w:footerReference w:type="even" r:id="rId3"/>
      <w:footerReference w:type="default" r:id="rId4"/>
      <w:footerReference w:type="first" r:id="rId5"/>
      <w:type w:val="nextPage"/>
      <w:pgSz w:w="12240" w:h="15840"/>
      <w:pgMar w:left="1224" w:right="1224" w:gutter="0" w:header="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2"/>
      </w:rPr>
      <w:fldChar w:fldCharType="begin"/>
    </w:r>
    <w:r>
      <w:rPr>
        <w:sz w:val="22"/>
      </w:rPr>
      <w:instrText xml:space="preserve"> PAGE </w:instrText>
    </w:r>
    <w:r>
      <w:rPr>
        <w:sz w:val="22"/>
      </w:rPr>
      <w:fldChar w:fldCharType="separate"/>
    </w:r>
    <w:r>
      <w:rPr>
        <w:sz w:val="22"/>
      </w:rPr>
      <w:t>8</w:t>
    </w:r>
    <w:r>
      <w:rPr>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2"/>
      </w:rPr>
      <w:fldChar w:fldCharType="begin"/>
    </w:r>
    <w:r>
      <w:rPr>
        <w:sz w:val="22"/>
      </w:rPr>
      <w:instrText xml:space="preserve"> PAGE </w:instrText>
    </w:r>
    <w:r>
      <w:rPr>
        <w:sz w:val="22"/>
      </w:rPr>
      <w:fldChar w:fldCharType="separate"/>
    </w:r>
    <w:r>
      <w:rPr>
        <w:sz w:val="22"/>
      </w:rPr>
      <w:t>8</w:t>
    </w:r>
    <w:r>
      <w:rPr>
        <w:sz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8"/>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1">
    <w:name w:val="toc 1"/>
    <w:basedOn w:val="Index"/>
    <w:pPr>
      <w:tabs>
        <w:tab w:val="clear" w:pos="720"/>
        <w:tab w:val="right" w:pos="9792" w:leader="dot"/>
      </w:tabs>
      <w:ind w:hanging="0" w:left="0"/>
    </w:pPr>
    <w:rPr/>
  </w:style>
  <w:style w:type="paragraph" w:styleId="TOC2">
    <w:name w:val="toc 2"/>
    <w:basedOn w:val="Index"/>
    <w:pPr>
      <w:tabs>
        <w:tab w:val="clear" w:pos="720"/>
        <w:tab w:val="right" w:pos="9509"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google.com/spreadsheets/d/1wlKojZ3ikoIoMeCdO3YgB6lXUdc_pkF4/edit?usp=sharing&amp;ouid=116517225992493178907&amp;rtpof=true&amp;sd=true"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Application>LibreOffice/26.2.3.2$Linux_X86_64 LibreOffice_project/620$Build-2</Application>
  <AppVersion>15.0000</AppVersion>
  <Pages>8</Pages>
  <Words>2044</Words>
  <Characters>12369</Characters>
  <CharactersWithSpaces>14139</CharactersWithSpaces>
  <Paragraphs>271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2026-05-17T18:12:58Z</cp:lastPrinted>
  <dcterms:modified xsi:type="dcterms:W3CDTF">2026-05-17T18:13:05Z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