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2">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4">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Motor de trazabilidad verificable de donaciones basado en Event Sourcing, integridad criptográfica y anclaje en blockchain para organizaciones sociales</w:t>
        <w:br w:type="textWrapping"/>
        <w:t xml:space="preserve">(paxfide)</w:t>
      </w:r>
    </w:p>
    <w:p w:rsidR="00000000" w:rsidDel="00000000" w:rsidP="00000000" w:rsidRDefault="00000000" w:rsidRPr="00000000" w14:paraId="00000006">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Nombres y apellidos de los integrantes, separados por coma</w:t>
      </w:r>
      <w:r w:rsidDel="00000000" w:rsidR="00000000" w:rsidRPr="00000000">
        <w:rPr>
          <w:rtl w:val="0"/>
        </w:rPr>
      </w:r>
    </w:p>
    <w:p w:rsidR="00000000" w:rsidDel="00000000" w:rsidP="00000000" w:rsidRDefault="00000000" w:rsidRPr="00000000" w14:paraId="00000009">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 Ingeniería de Sistemas</w:t>
      </w:r>
    </w:p>
    <w:p w:rsidR="00000000" w:rsidDel="00000000" w:rsidP="00000000" w:rsidRDefault="00000000" w:rsidRPr="00000000" w14:paraId="0000000D">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Minería de Datos II, Computación en la Nube, Computación Móvil, Ingeniería Económica</w:t>
      </w:r>
    </w:p>
    <w:p w:rsidR="00000000" w:rsidDel="00000000" w:rsidP="00000000" w:rsidRDefault="00000000" w:rsidRPr="00000000" w14:paraId="0000000E">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Nombre del docente</w:t>
      </w:r>
      <w:r w:rsidDel="00000000" w:rsidR="00000000" w:rsidRPr="00000000">
        <w:rPr>
          <w:rtl w:val="0"/>
        </w:rPr>
      </w:r>
    </w:p>
    <w:p w:rsidR="00000000" w:rsidDel="00000000" w:rsidP="00000000" w:rsidRDefault="00000000" w:rsidRPr="00000000" w14:paraId="00000011">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Cartagena de Indias, octubre de 2026</w:t>
      </w:r>
    </w:p>
    <w:p w:rsidR="00000000" w:rsidDel="00000000" w:rsidP="00000000" w:rsidRDefault="00000000" w:rsidRPr="00000000" w14:paraId="00000016">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0" w:line="480" w:lineRule="auto"/>
        <w:ind w:left="720" w:firstLine="284.0000000000000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w:t>
      </w:r>
    </w:p>
    <w:p w:rsidR="00000000" w:rsidDel="00000000" w:rsidP="00000000" w:rsidRDefault="00000000" w:rsidRPr="00000000" w14:paraId="0000001A">
      <w:pPr>
        <w:keepNext w:val="1"/>
        <w:keepLines w:val="1"/>
        <w:spacing w:after="0" w:before="240" w:lineRule="auto"/>
        <w:rPr>
          <w:rFonts w:ascii="Play" w:cs="Play" w:eastAsia="Play" w:hAnsi="Play"/>
          <w:color w:val="0f4761"/>
          <w:sz w:val="32"/>
          <w:szCs w:val="32"/>
        </w:rPr>
      </w:pPr>
      <w:r w:rsidDel="00000000" w:rsidR="00000000" w:rsidRPr="00000000">
        <w:rPr>
          <w:rtl w:val="0"/>
        </w:rPr>
      </w:r>
    </w:p>
    <w:sdt>
      <w:sdtPr>
        <w:id w:val="499505078"/>
        <w:docPartObj>
          <w:docPartGallery w:val="Table of Contents"/>
          <w:docPartUnique w:val="1"/>
        </w:docPartObj>
      </w:sdtPr>
      <w:sdtContent>
        <w:p w:rsidR="00000000" w:rsidDel="00000000" w:rsidP="00000000" w:rsidRDefault="00000000" w:rsidRPr="00000000" w14:paraId="0000001B">
          <w:pPr>
            <w:tabs>
              <w:tab w:val="right" w:leader="none" w:pos="8828"/>
            </w:tabs>
            <w:spacing w:after="100" w:line="480" w:lineRule="auto"/>
            <w:ind w:firstLine="284"/>
            <w:rPr>
              <w:rFonts w:ascii="Aptos" w:cs="Aptos" w:eastAsia="Aptos" w:hAnsi="Aptos"/>
              <w:sz w:val="24"/>
              <w:szCs w:val="24"/>
            </w:rPr>
          </w:pPr>
          <w:r w:rsidDel="00000000" w:rsidR="00000000" w:rsidRPr="00000000">
            <w:fldChar w:fldCharType="begin"/>
            <w:instrText xml:space="preserve"> TOC \h \u \z \t "Heading 1,1,Heading 2,2,Heading 3,3,"</w:instrText>
            <w:fldChar w:fldCharType="separate"/>
          </w:r>
          <w:hyperlink w:anchor="_heading=h.9u6eoy2i2y7a">
            <w:r w:rsidDel="00000000" w:rsidR="00000000" w:rsidRPr="00000000">
              <w:rPr>
                <w:rFonts w:ascii="Times New Roman" w:cs="Times New Roman" w:eastAsia="Times New Roman" w:hAnsi="Times New Roman"/>
                <w:color w:val="467886"/>
                <w:sz w:val="24"/>
                <w:szCs w:val="24"/>
                <w:u w:val="single"/>
                <w:rtl w:val="0"/>
              </w:rPr>
              <w:t xml:space="preserve">Capítulo I</w:t>
            </w:r>
          </w:hyperlink>
          <w:hyperlink w:anchor="_heading=h.9u6eoy2i2y7a">
            <w:r w:rsidDel="00000000" w:rsidR="00000000" w:rsidRPr="00000000">
              <w:rPr>
                <w:rFonts w:ascii="Times New Roman" w:cs="Times New Roman" w:eastAsia="Times New Roman" w:hAnsi="Times New Roman"/>
                <w:sz w:val="24"/>
                <w:szCs w:val="24"/>
                <w:rtl w:val="0"/>
              </w:rPr>
              <w:tab/>
              <w:t xml:space="preserve">6</w:t>
            </w:r>
          </w:hyperlink>
          <w:r w:rsidDel="00000000" w:rsidR="00000000" w:rsidRPr="00000000">
            <w:rPr>
              <w:rtl w:val="0"/>
            </w:rPr>
          </w:r>
        </w:p>
        <w:p w:rsidR="00000000" w:rsidDel="00000000" w:rsidP="00000000" w:rsidRDefault="00000000" w:rsidRPr="00000000" w14:paraId="0000001C">
          <w:pPr>
            <w:tabs>
              <w:tab w:val="right" w:leader="none" w:pos="8828"/>
            </w:tabs>
            <w:spacing w:after="100" w:line="480" w:lineRule="auto"/>
            <w:ind w:left="240" w:firstLine="284"/>
            <w:rPr>
              <w:rFonts w:ascii="Aptos" w:cs="Aptos" w:eastAsia="Aptos" w:hAnsi="Aptos"/>
              <w:sz w:val="24"/>
              <w:szCs w:val="24"/>
            </w:rPr>
          </w:pPr>
          <w:hyperlink w:anchor="_heading=h.lkvi9txdmxu7">
            <w:r w:rsidDel="00000000" w:rsidR="00000000" w:rsidRPr="00000000">
              <w:rPr>
                <w:rFonts w:ascii="Times New Roman" w:cs="Times New Roman" w:eastAsia="Times New Roman" w:hAnsi="Times New Roman"/>
                <w:color w:val="467886"/>
                <w:sz w:val="24"/>
                <w:szCs w:val="24"/>
                <w:u w:val="single"/>
                <w:rtl w:val="0"/>
              </w:rPr>
              <w:t xml:space="preserve">1. Problema</w:t>
            </w:r>
          </w:hyperlink>
          <w:hyperlink w:anchor="_heading=h.lkvi9txdmxu7">
            <w:r w:rsidDel="00000000" w:rsidR="00000000" w:rsidRPr="00000000">
              <w:rPr>
                <w:rFonts w:ascii="Times New Roman" w:cs="Times New Roman" w:eastAsia="Times New Roman" w:hAnsi="Times New Roman"/>
                <w:sz w:val="24"/>
                <w:szCs w:val="24"/>
                <w:rtl w:val="0"/>
              </w:rPr>
              <w:tab/>
              <w:t xml:space="preserve">6</w:t>
            </w:r>
          </w:hyperlink>
          <w:r w:rsidDel="00000000" w:rsidR="00000000" w:rsidRPr="00000000">
            <w:rPr>
              <w:rtl w:val="0"/>
            </w:rPr>
          </w:r>
        </w:p>
        <w:p w:rsidR="00000000" w:rsidDel="00000000" w:rsidP="00000000" w:rsidRDefault="00000000" w:rsidRPr="00000000" w14:paraId="0000001D">
          <w:pPr>
            <w:tabs>
              <w:tab w:val="right" w:leader="none" w:pos="8828"/>
            </w:tabs>
            <w:spacing w:after="100" w:line="480" w:lineRule="auto"/>
            <w:ind w:left="480" w:firstLine="284.00000000000006"/>
            <w:rPr>
              <w:rFonts w:ascii="Aptos" w:cs="Aptos" w:eastAsia="Aptos" w:hAnsi="Aptos"/>
              <w:sz w:val="24"/>
              <w:szCs w:val="24"/>
            </w:rPr>
          </w:pPr>
          <w:hyperlink w:anchor="_heading=h.odfa7f7madie">
            <w:r w:rsidDel="00000000" w:rsidR="00000000" w:rsidRPr="00000000">
              <w:rPr>
                <w:rFonts w:ascii="Times New Roman" w:cs="Times New Roman" w:eastAsia="Times New Roman" w:hAnsi="Times New Roman"/>
                <w:color w:val="467886"/>
                <w:sz w:val="24"/>
                <w:szCs w:val="24"/>
                <w:u w:val="single"/>
                <w:rtl w:val="0"/>
              </w:rPr>
              <w:t xml:space="preserve">1.1 Descripción del problema</w:t>
            </w:r>
          </w:hyperlink>
          <w:hyperlink w:anchor="_heading=h.odfa7f7madie">
            <w:r w:rsidDel="00000000" w:rsidR="00000000" w:rsidRPr="00000000">
              <w:rPr>
                <w:rFonts w:ascii="Times New Roman" w:cs="Times New Roman" w:eastAsia="Times New Roman" w:hAnsi="Times New Roman"/>
                <w:sz w:val="24"/>
                <w:szCs w:val="24"/>
                <w:rtl w:val="0"/>
              </w:rPr>
              <w:tab/>
              <w:t xml:space="preserve">6</w:t>
            </w:r>
          </w:hyperlink>
          <w:r w:rsidDel="00000000" w:rsidR="00000000" w:rsidRPr="00000000">
            <w:rPr>
              <w:rtl w:val="0"/>
            </w:rPr>
          </w:r>
        </w:p>
        <w:p w:rsidR="00000000" w:rsidDel="00000000" w:rsidP="00000000" w:rsidRDefault="00000000" w:rsidRPr="00000000" w14:paraId="0000001E">
          <w:pPr>
            <w:tabs>
              <w:tab w:val="right" w:leader="none" w:pos="8828"/>
            </w:tabs>
            <w:spacing w:after="100" w:line="480" w:lineRule="auto"/>
            <w:ind w:left="480" w:firstLine="284.00000000000006"/>
            <w:rPr>
              <w:rFonts w:ascii="Aptos" w:cs="Aptos" w:eastAsia="Aptos" w:hAnsi="Aptos"/>
              <w:sz w:val="24"/>
              <w:szCs w:val="24"/>
            </w:rPr>
          </w:pPr>
          <w:hyperlink w:anchor="_heading=h.if24qhsxloe2">
            <w:r w:rsidDel="00000000" w:rsidR="00000000" w:rsidRPr="00000000">
              <w:rPr>
                <w:rFonts w:ascii="Times New Roman" w:cs="Times New Roman" w:eastAsia="Times New Roman" w:hAnsi="Times New Roman"/>
                <w:color w:val="467886"/>
                <w:sz w:val="24"/>
                <w:szCs w:val="24"/>
                <w:u w:val="single"/>
                <w:rtl w:val="0"/>
              </w:rPr>
              <w:t xml:space="preserve">1.2 Pregunta problema</w:t>
            </w:r>
          </w:hyperlink>
          <w:hyperlink w:anchor="_heading=h.if24qhsxloe2">
            <w:r w:rsidDel="00000000" w:rsidR="00000000" w:rsidRPr="00000000">
              <w:rPr>
                <w:rFonts w:ascii="Times New Roman" w:cs="Times New Roman" w:eastAsia="Times New Roman" w:hAnsi="Times New Roman"/>
                <w:sz w:val="24"/>
                <w:szCs w:val="24"/>
                <w:rtl w:val="0"/>
              </w:rPr>
              <w:tab/>
              <w:t xml:space="preserve">7</w:t>
            </w:r>
          </w:hyperlink>
          <w:r w:rsidDel="00000000" w:rsidR="00000000" w:rsidRPr="00000000">
            <w:rPr>
              <w:rtl w:val="0"/>
            </w:rPr>
          </w:r>
        </w:p>
        <w:p w:rsidR="00000000" w:rsidDel="00000000" w:rsidP="00000000" w:rsidRDefault="00000000" w:rsidRPr="00000000" w14:paraId="0000001F">
          <w:pPr>
            <w:tabs>
              <w:tab w:val="right" w:leader="none" w:pos="8828"/>
            </w:tabs>
            <w:spacing w:after="100" w:line="480" w:lineRule="auto"/>
            <w:ind w:left="480" w:firstLine="284.00000000000006"/>
            <w:rPr>
              <w:rFonts w:ascii="Aptos" w:cs="Aptos" w:eastAsia="Aptos" w:hAnsi="Aptos"/>
              <w:sz w:val="24"/>
              <w:szCs w:val="24"/>
            </w:rPr>
          </w:pPr>
          <w:hyperlink w:anchor="_heading=h.2q9dnh5cfm52">
            <w:r w:rsidDel="00000000" w:rsidR="00000000" w:rsidRPr="00000000">
              <w:rPr>
                <w:rFonts w:ascii="Times New Roman" w:cs="Times New Roman" w:eastAsia="Times New Roman" w:hAnsi="Times New Roman"/>
                <w:color w:val="467886"/>
                <w:sz w:val="24"/>
                <w:szCs w:val="24"/>
                <w:u w:val="single"/>
                <w:rtl w:val="0"/>
              </w:rPr>
              <w:t xml:space="preserve">1.3 Árbol del problema</w:t>
            </w:r>
          </w:hyperlink>
          <w:hyperlink w:anchor="_heading=h.2q9dnh5cfm52">
            <w:r w:rsidDel="00000000" w:rsidR="00000000" w:rsidRPr="00000000">
              <w:rPr>
                <w:rFonts w:ascii="Times New Roman" w:cs="Times New Roman" w:eastAsia="Times New Roman" w:hAnsi="Times New Roman"/>
                <w:sz w:val="24"/>
                <w:szCs w:val="24"/>
                <w:rtl w:val="0"/>
              </w:rPr>
              <w:tab/>
              <w:t xml:space="preserve">7</w:t>
            </w:r>
          </w:hyperlink>
          <w:r w:rsidDel="00000000" w:rsidR="00000000" w:rsidRPr="00000000">
            <w:rPr>
              <w:rtl w:val="0"/>
            </w:rPr>
          </w:r>
        </w:p>
        <w:p w:rsidR="00000000" w:rsidDel="00000000" w:rsidP="00000000" w:rsidRDefault="00000000" w:rsidRPr="00000000" w14:paraId="00000020">
          <w:pPr>
            <w:tabs>
              <w:tab w:val="right" w:leader="none" w:pos="8828"/>
            </w:tabs>
            <w:spacing w:after="100" w:line="480" w:lineRule="auto"/>
            <w:ind w:left="480" w:firstLine="284.00000000000006"/>
            <w:rPr>
              <w:rFonts w:ascii="Aptos" w:cs="Aptos" w:eastAsia="Aptos" w:hAnsi="Aptos"/>
              <w:sz w:val="24"/>
              <w:szCs w:val="24"/>
            </w:rPr>
          </w:pPr>
          <w:hyperlink w:anchor="_heading=h.od3vbt2qvl27">
            <w:r w:rsidDel="00000000" w:rsidR="00000000" w:rsidRPr="00000000">
              <w:rPr>
                <w:rFonts w:ascii="Times New Roman" w:cs="Times New Roman" w:eastAsia="Times New Roman" w:hAnsi="Times New Roman"/>
                <w:color w:val="467886"/>
                <w:sz w:val="24"/>
                <w:szCs w:val="24"/>
                <w:u w:val="single"/>
                <w:rtl w:val="0"/>
              </w:rPr>
              <w:t xml:space="preserve">1.4 Justificación</w:t>
            </w:r>
          </w:hyperlink>
          <w:hyperlink w:anchor="_heading=h.od3vbt2qvl27">
            <w:r w:rsidDel="00000000" w:rsidR="00000000" w:rsidRPr="00000000">
              <w:rPr>
                <w:rFonts w:ascii="Times New Roman" w:cs="Times New Roman" w:eastAsia="Times New Roman" w:hAnsi="Times New Roman"/>
                <w:sz w:val="24"/>
                <w:szCs w:val="24"/>
                <w:rtl w:val="0"/>
              </w:rPr>
              <w:tab/>
              <w:t xml:space="preserve">8</w:t>
            </w:r>
          </w:hyperlink>
          <w:r w:rsidDel="00000000" w:rsidR="00000000" w:rsidRPr="00000000">
            <w:rPr>
              <w:rtl w:val="0"/>
            </w:rPr>
          </w:r>
        </w:p>
        <w:p w:rsidR="00000000" w:rsidDel="00000000" w:rsidP="00000000" w:rsidRDefault="00000000" w:rsidRPr="00000000" w14:paraId="00000021">
          <w:pPr>
            <w:tabs>
              <w:tab w:val="right" w:leader="none" w:pos="8828"/>
            </w:tabs>
            <w:spacing w:after="100" w:line="480" w:lineRule="auto"/>
            <w:ind w:left="480" w:firstLine="284.00000000000006"/>
            <w:rPr>
              <w:rFonts w:ascii="Aptos" w:cs="Aptos" w:eastAsia="Aptos" w:hAnsi="Aptos"/>
              <w:sz w:val="24"/>
              <w:szCs w:val="24"/>
            </w:rPr>
          </w:pPr>
          <w:hyperlink w:anchor="_heading=h.mgv2o291qgu">
            <w:r w:rsidDel="00000000" w:rsidR="00000000" w:rsidRPr="00000000">
              <w:rPr>
                <w:rFonts w:ascii="Times New Roman" w:cs="Times New Roman" w:eastAsia="Times New Roman" w:hAnsi="Times New Roman"/>
                <w:color w:val="467886"/>
                <w:sz w:val="24"/>
                <w:szCs w:val="24"/>
                <w:u w:val="single"/>
                <w:rtl w:val="0"/>
              </w:rPr>
              <w:t xml:space="preserve">1.5 Objetivos</w:t>
            </w:r>
          </w:hyperlink>
          <w:hyperlink w:anchor="_heading=h.mgv2o291qgu">
            <w:r w:rsidDel="00000000" w:rsidR="00000000" w:rsidRPr="00000000">
              <w:rPr>
                <w:rFonts w:ascii="Times New Roman" w:cs="Times New Roman" w:eastAsia="Times New Roman" w:hAnsi="Times New Roman"/>
                <w:sz w:val="24"/>
                <w:szCs w:val="24"/>
                <w:rtl w:val="0"/>
              </w:rPr>
              <w:tab/>
              <w:t xml:space="preserve">9</w:t>
            </w:r>
          </w:hyperlink>
          <w:r w:rsidDel="00000000" w:rsidR="00000000" w:rsidRPr="00000000">
            <w:rPr>
              <w:rtl w:val="0"/>
            </w:rPr>
          </w:r>
        </w:p>
        <w:p w:rsidR="00000000" w:rsidDel="00000000" w:rsidP="00000000" w:rsidRDefault="00000000" w:rsidRPr="00000000" w14:paraId="00000022">
          <w:pPr>
            <w:tabs>
              <w:tab w:val="right" w:leader="none" w:pos="8828"/>
            </w:tabs>
            <w:spacing w:after="100" w:line="480" w:lineRule="auto"/>
            <w:ind w:left="480" w:firstLine="284.00000000000006"/>
            <w:rPr>
              <w:rFonts w:ascii="Aptos" w:cs="Aptos" w:eastAsia="Aptos" w:hAnsi="Aptos"/>
              <w:sz w:val="24"/>
              <w:szCs w:val="24"/>
            </w:rPr>
          </w:pPr>
          <w:hyperlink w:anchor="_heading=h.x8q3xrpp7yah">
            <w:r w:rsidDel="00000000" w:rsidR="00000000" w:rsidRPr="00000000">
              <w:rPr>
                <w:rFonts w:ascii="Times New Roman" w:cs="Times New Roman" w:eastAsia="Times New Roman" w:hAnsi="Times New Roman"/>
                <w:color w:val="467886"/>
                <w:sz w:val="24"/>
                <w:szCs w:val="24"/>
                <w:u w:val="single"/>
                <w:rtl w:val="0"/>
              </w:rPr>
              <w:t xml:space="preserve">1.5.1 Objetivo general</w:t>
            </w:r>
          </w:hyperlink>
          <w:hyperlink w:anchor="_heading=h.x8q3xrpp7yah">
            <w:r w:rsidDel="00000000" w:rsidR="00000000" w:rsidRPr="00000000">
              <w:rPr>
                <w:rFonts w:ascii="Times New Roman" w:cs="Times New Roman" w:eastAsia="Times New Roman" w:hAnsi="Times New Roman"/>
                <w:sz w:val="24"/>
                <w:szCs w:val="24"/>
                <w:rtl w:val="0"/>
              </w:rPr>
              <w:tab/>
              <w:t xml:space="preserve">9</w:t>
            </w:r>
          </w:hyperlink>
          <w:r w:rsidDel="00000000" w:rsidR="00000000" w:rsidRPr="00000000">
            <w:rPr>
              <w:rtl w:val="0"/>
            </w:rPr>
          </w:r>
        </w:p>
        <w:p w:rsidR="00000000" w:rsidDel="00000000" w:rsidP="00000000" w:rsidRDefault="00000000" w:rsidRPr="00000000" w14:paraId="00000023">
          <w:pPr>
            <w:tabs>
              <w:tab w:val="right" w:leader="none" w:pos="8828"/>
            </w:tabs>
            <w:spacing w:after="100" w:line="480" w:lineRule="auto"/>
            <w:ind w:left="480" w:firstLine="284.00000000000006"/>
            <w:rPr>
              <w:rFonts w:ascii="Aptos" w:cs="Aptos" w:eastAsia="Aptos" w:hAnsi="Aptos"/>
              <w:sz w:val="24"/>
              <w:szCs w:val="24"/>
            </w:rPr>
          </w:pPr>
          <w:hyperlink w:anchor="_heading=h.sg7fw9gvakpq">
            <w:r w:rsidDel="00000000" w:rsidR="00000000" w:rsidRPr="00000000">
              <w:rPr>
                <w:rFonts w:ascii="Times New Roman" w:cs="Times New Roman" w:eastAsia="Times New Roman" w:hAnsi="Times New Roman"/>
                <w:color w:val="467886"/>
                <w:sz w:val="24"/>
                <w:szCs w:val="24"/>
                <w:u w:val="single"/>
                <w:rtl w:val="0"/>
              </w:rPr>
              <w:t xml:space="preserve">1.5.2 Objetivos específicos</w:t>
            </w:r>
          </w:hyperlink>
          <w:hyperlink w:anchor="_heading=h.sg7fw9gvakpq">
            <w:r w:rsidDel="00000000" w:rsidR="00000000" w:rsidRPr="00000000">
              <w:rPr>
                <w:rFonts w:ascii="Times New Roman" w:cs="Times New Roman" w:eastAsia="Times New Roman" w:hAnsi="Times New Roman"/>
                <w:sz w:val="24"/>
                <w:szCs w:val="24"/>
                <w:rtl w:val="0"/>
              </w:rPr>
              <w:tab/>
              <w:t xml:space="preserve">10</w:t>
            </w:r>
          </w:hyperlink>
          <w:r w:rsidDel="00000000" w:rsidR="00000000" w:rsidRPr="00000000">
            <w:rPr>
              <w:rtl w:val="0"/>
            </w:rPr>
          </w:r>
        </w:p>
        <w:p w:rsidR="00000000" w:rsidDel="00000000" w:rsidP="00000000" w:rsidRDefault="00000000" w:rsidRPr="00000000" w14:paraId="00000024">
          <w:pPr>
            <w:tabs>
              <w:tab w:val="right" w:leader="none" w:pos="8828"/>
            </w:tabs>
            <w:spacing w:after="100" w:line="480" w:lineRule="auto"/>
            <w:ind w:firstLine="284"/>
            <w:rPr>
              <w:rFonts w:ascii="Aptos" w:cs="Aptos" w:eastAsia="Aptos" w:hAnsi="Aptos"/>
              <w:sz w:val="24"/>
              <w:szCs w:val="24"/>
            </w:rPr>
          </w:pPr>
          <w:hyperlink w:anchor="_heading=h.bopen8ananto">
            <w:r w:rsidDel="00000000" w:rsidR="00000000" w:rsidRPr="00000000">
              <w:rPr>
                <w:rFonts w:ascii="Times New Roman" w:cs="Times New Roman" w:eastAsia="Times New Roman" w:hAnsi="Times New Roman"/>
                <w:color w:val="467886"/>
                <w:sz w:val="24"/>
                <w:szCs w:val="24"/>
                <w:u w:val="single"/>
                <w:rtl w:val="0"/>
              </w:rPr>
              <w:t xml:space="preserve">Capítulo II</w:t>
            </w:r>
          </w:hyperlink>
          <w:hyperlink w:anchor="_heading=h.bopen8ananto">
            <w:r w:rsidDel="00000000" w:rsidR="00000000" w:rsidRPr="00000000">
              <w:rPr>
                <w:rFonts w:ascii="Times New Roman" w:cs="Times New Roman" w:eastAsia="Times New Roman" w:hAnsi="Times New Roman"/>
                <w:sz w:val="24"/>
                <w:szCs w:val="24"/>
                <w:rtl w:val="0"/>
              </w:rPr>
              <w:tab/>
              <w:t xml:space="preserve">11</w:t>
            </w:r>
          </w:hyperlink>
          <w:r w:rsidDel="00000000" w:rsidR="00000000" w:rsidRPr="00000000">
            <w:rPr>
              <w:rtl w:val="0"/>
            </w:rPr>
          </w:r>
        </w:p>
        <w:p w:rsidR="00000000" w:rsidDel="00000000" w:rsidP="00000000" w:rsidRDefault="00000000" w:rsidRPr="00000000" w14:paraId="00000025">
          <w:pPr>
            <w:tabs>
              <w:tab w:val="right" w:leader="none" w:pos="8828"/>
            </w:tabs>
            <w:spacing w:after="100" w:line="480" w:lineRule="auto"/>
            <w:ind w:left="240" w:firstLine="284"/>
            <w:rPr>
              <w:rFonts w:ascii="Aptos" w:cs="Aptos" w:eastAsia="Aptos" w:hAnsi="Aptos"/>
              <w:sz w:val="24"/>
              <w:szCs w:val="24"/>
            </w:rPr>
          </w:pPr>
          <w:hyperlink w:anchor="_heading=h.p0onis820nd5">
            <w:r w:rsidDel="00000000" w:rsidR="00000000" w:rsidRPr="00000000">
              <w:rPr>
                <w:rFonts w:ascii="Times New Roman" w:cs="Times New Roman" w:eastAsia="Times New Roman" w:hAnsi="Times New Roman"/>
                <w:color w:val="467886"/>
                <w:sz w:val="24"/>
                <w:szCs w:val="24"/>
                <w:u w:val="single"/>
                <w:rtl w:val="0"/>
              </w:rPr>
              <w:t xml:space="preserve">2. Estado del arte</w:t>
            </w:r>
          </w:hyperlink>
          <w:hyperlink w:anchor="_heading=h.p0onis820nd5">
            <w:r w:rsidDel="00000000" w:rsidR="00000000" w:rsidRPr="00000000">
              <w:rPr>
                <w:rFonts w:ascii="Times New Roman" w:cs="Times New Roman" w:eastAsia="Times New Roman" w:hAnsi="Times New Roman"/>
                <w:sz w:val="24"/>
                <w:szCs w:val="24"/>
                <w:rtl w:val="0"/>
              </w:rPr>
              <w:tab/>
              <w:t xml:space="preserve">11</w:t>
            </w:r>
          </w:hyperlink>
          <w:r w:rsidDel="00000000" w:rsidR="00000000" w:rsidRPr="00000000">
            <w:rPr>
              <w:rtl w:val="0"/>
            </w:rPr>
          </w:r>
        </w:p>
        <w:p w:rsidR="00000000" w:rsidDel="00000000" w:rsidP="00000000" w:rsidRDefault="00000000" w:rsidRPr="00000000" w14:paraId="00000026">
          <w:pPr>
            <w:tabs>
              <w:tab w:val="right" w:leader="none" w:pos="8828"/>
            </w:tabs>
            <w:spacing w:after="100" w:line="480" w:lineRule="auto"/>
            <w:ind w:left="480" w:firstLine="284.00000000000006"/>
            <w:rPr>
              <w:rFonts w:ascii="Aptos" w:cs="Aptos" w:eastAsia="Aptos" w:hAnsi="Aptos"/>
              <w:sz w:val="24"/>
              <w:szCs w:val="24"/>
            </w:rPr>
          </w:pPr>
          <w:hyperlink w:anchor="_heading=h.x617gt5oj564">
            <w:r w:rsidDel="00000000" w:rsidR="00000000" w:rsidRPr="00000000">
              <w:rPr>
                <w:rFonts w:ascii="Times New Roman" w:cs="Times New Roman" w:eastAsia="Times New Roman" w:hAnsi="Times New Roman"/>
                <w:color w:val="467886"/>
                <w:sz w:val="24"/>
                <w:szCs w:val="24"/>
                <w:u w:val="single"/>
                <w:rtl w:val="0"/>
              </w:rPr>
              <w:t xml:space="preserve">2.1 Antecedentes internacionales</w:t>
            </w:r>
          </w:hyperlink>
          <w:hyperlink w:anchor="_heading=h.x617gt5oj564">
            <w:r w:rsidDel="00000000" w:rsidR="00000000" w:rsidRPr="00000000">
              <w:rPr>
                <w:rFonts w:ascii="Times New Roman" w:cs="Times New Roman" w:eastAsia="Times New Roman" w:hAnsi="Times New Roman"/>
                <w:sz w:val="24"/>
                <w:szCs w:val="24"/>
                <w:rtl w:val="0"/>
              </w:rPr>
              <w:tab/>
              <w:t xml:space="preserve">11</w:t>
            </w:r>
          </w:hyperlink>
          <w:r w:rsidDel="00000000" w:rsidR="00000000" w:rsidRPr="00000000">
            <w:rPr>
              <w:rtl w:val="0"/>
            </w:rPr>
          </w:r>
        </w:p>
        <w:p w:rsidR="00000000" w:rsidDel="00000000" w:rsidP="00000000" w:rsidRDefault="00000000" w:rsidRPr="00000000" w14:paraId="00000027">
          <w:pPr>
            <w:tabs>
              <w:tab w:val="right" w:leader="none" w:pos="8828"/>
            </w:tabs>
            <w:spacing w:after="100" w:line="480" w:lineRule="auto"/>
            <w:ind w:left="480" w:firstLine="284.00000000000006"/>
            <w:rPr>
              <w:rFonts w:ascii="Aptos" w:cs="Aptos" w:eastAsia="Aptos" w:hAnsi="Aptos"/>
              <w:sz w:val="24"/>
              <w:szCs w:val="24"/>
            </w:rPr>
          </w:pPr>
          <w:hyperlink w:anchor="_heading=h.nvuz2j3aq6w5">
            <w:r w:rsidDel="00000000" w:rsidR="00000000" w:rsidRPr="00000000">
              <w:rPr>
                <w:rFonts w:ascii="Times New Roman" w:cs="Times New Roman" w:eastAsia="Times New Roman" w:hAnsi="Times New Roman"/>
                <w:color w:val="467886"/>
                <w:sz w:val="24"/>
                <w:szCs w:val="24"/>
                <w:u w:val="single"/>
                <w:rtl w:val="0"/>
              </w:rPr>
              <w:t xml:space="preserve">2.2 Antecedentes nacionales</w:t>
            </w:r>
          </w:hyperlink>
          <w:hyperlink w:anchor="_heading=h.nvuz2j3aq6w5">
            <w:r w:rsidDel="00000000" w:rsidR="00000000" w:rsidRPr="00000000">
              <w:rPr>
                <w:rFonts w:ascii="Times New Roman" w:cs="Times New Roman" w:eastAsia="Times New Roman" w:hAnsi="Times New Roman"/>
                <w:sz w:val="24"/>
                <w:szCs w:val="24"/>
                <w:rtl w:val="0"/>
              </w:rPr>
              <w:tab/>
              <w:t xml:space="preserve">13</w:t>
            </w:r>
          </w:hyperlink>
          <w:r w:rsidDel="00000000" w:rsidR="00000000" w:rsidRPr="00000000">
            <w:rPr>
              <w:rtl w:val="0"/>
            </w:rPr>
          </w:r>
        </w:p>
        <w:p w:rsidR="00000000" w:rsidDel="00000000" w:rsidP="00000000" w:rsidRDefault="00000000" w:rsidRPr="00000000" w14:paraId="00000028">
          <w:pPr>
            <w:tabs>
              <w:tab w:val="right" w:leader="none" w:pos="8828"/>
            </w:tabs>
            <w:spacing w:after="100" w:line="480" w:lineRule="auto"/>
            <w:ind w:left="480" w:firstLine="284.00000000000006"/>
            <w:rPr>
              <w:rFonts w:ascii="Aptos" w:cs="Aptos" w:eastAsia="Aptos" w:hAnsi="Aptos"/>
              <w:sz w:val="24"/>
              <w:szCs w:val="24"/>
            </w:rPr>
          </w:pPr>
          <w:hyperlink w:anchor="_heading=h.57jwz0obwpe5">
            <w:r w:rsidDel="00000000" w:rsidR="00000000" w:rsidRPr="00000000">
              <w:rPr>
                <w:rFonts w:ascii="Times New Roman" w:cs="Times New Roman" w:eastAsia="Times New Roman" w:hAnsi="Times New Roman"/>
                <w:color w:val="467886"/>
                <w:sz w:val="24"/>
                <w:szCs w:val="24"/>
                <w:u w:val="single"/>
                <w:rtl w:val="0"/>
              </w:rPr>
              <w:t xml:space="preserve">2.3 Antecedentes regionales y locales</w:t>
            </w:r>
          </w:hyperlink>
          <w:hyperlink w:anchor="_heading=h.57jwz0obwpe5">
            <w:r w:rsidDel="00000000" w:rsidR="00000000" w:rsidRPr="00000000">
              <w:rPr>
                <w:rFonts w:ascii="Times New Roman" w:cs="Times New Roman" w:eastAsia="Times New Roman" w:hAnsi="Times New Roman"/>
                <w:sz w:val="24"/>
                <w:szCs w:val="24"/>
                <w:rtl w:val="0"/>
              </w:rPr>
              <w:tab/>
              <w:t xml:space="preserve">14</w:t>
            </w:r>
          </w:hyperlink>
          <w:r w:rsidDel="00000000" w:rsidR="00000000" w:rsidRPr="00000000">
            <w:rPr>
              <w:rtl w:val="0"/>
            </w:rPr>
          </w:r>
        </w:p>
        <w:p w:rsidR="00000000" w:rsidDel="00000000" w:rsidP="00000000" w:rsidRDefault="00000000" w:rsidRPr="00000000" w14:paraId="00000029">
          <w:pPr>
            <w:tabs>
              <w:tab w:val="right" w:leader="none" w:pos="8828"/>
            </w:tabs>
            <w:spacing w:after="100" w:line="480" w:lineRule="auto"/>
            <w:ind w:left="480" w:firstLine="284.00000000000006"/>
            <w:rPr>
              <w:rFonts w:ascii="Aptos" w:cs="Aptos" w:eastAsia="Aptos" w:hAnsi="Aptos"/>
              <w:sz w:val="24"/>
              <w:szCs w:val="24"/>
            </w:rPr>
          </w:pPr>
          <w:hyperlink w:anchor="_heading=h.c0kpb0i29ska">
            <w:r w:rsidDel="00000000" w:rsidR="00000000" w:rsidRPr="00000000">
              <w:rPr>
                <w:rFonts w:ascii="Times New Roman" w:cs="Times New Roman" w:eastAsia="Times New Roman" w:hAnsi="Times New Roman"/>
                <w:color w:val="467886"/>
                <w:sz w:val="24"/>
                <w:szCs w:val="24"/>
                <w:u w:val="single"/>
                <w:rtl w:val="0"/>
              </w:rPr>
              <w:t xml:space="preserve">2.4 Marco teórico</w:t>
            </w:r>
          </w:hyperlink>
          <w:hyperlink w:anchor="_heading=h.c0kpb0i29ska">
            <w:r w:rsidDel="00000000" w:rsidR="00000000" w:rsidRPr="00000000">
              <w:rPr>
                <w:rFonts w:ascii="Times New Roman" w:cs="Times New Roman" w:eastAsia="Times New Roman" w:hAnsi="Times New Roman"/>
                <w:sz w:val="24"/>
                <w:szCs w:val="24"/>
                <w:rtl w:val="0"/>
              </w:rPr>
              <w:tab/>
              <w:t xml:space="preserve">15</w:t>
            </w:r>
          </w:hyperlink>
          <w:r w:rsidDel="00000000" w:rsidR="00000000" w:rsidRPr="00000000">
            <w:rPr>
              <w:rtl w:val="0"/>
            </w:rPr>
          </w:r>
        </w:p>
        <w:p w:rsidR="00000000" w:rsidDel="00000000" w:rsidP="00000000" w:rsidRDefault="00000000" w:rsidRPr="00000000" w14:paraId="0000002A">
          <w:pPr>
            <w:tabs>
              <w:tab w:val="right" w:leader="none" w:pos="8828"/>
            </w:tabs>
            <w:spacing w:after="100" w:line="480" w:lineRule="auto"/>
            <w:ind w:left="480" w:firstLine="284.00000000000006"/>
            <w:rPr>
              <w:rFonts w:ascii="Aptos" w:cs="Aptos" w:eastAsia="Aptos" w:hAnsi="Aptos"/>
              <w:sz w:val="24"/>
              <w:szCs w:val="24"/>
            </w:rPr>
          </w:pPr>
          <w:hyperlink w:anchor="_heading=h.m9u23ykl64tt">
            <w:r w:rsidDel="00000000" w:rsidR="00000000" w:rsidRPr="00000000">
              <w:rPr>
                <w:rFonts w:ascii="Times New Roman" w:cs="Times New Roman" w:eastAsia="Times New Roman" w:hAnsi="Times New Roman"/>
                <w:color w:val="467886"/>
                <w:sz w:val="24"/>
                <w:szCs w:val="24"/>
                <w:u w:val="single"/>
                <w:rtl w:val="0"/>
              </w:rPr>
              <w:t xml:space="preserve">2.5 Marco contextual</w:t>
            </w:r>
          </w:hyperlink>
          <w:hyperlink w:anchor="_heading=h.m9u23ykl64tt">
            <w:r w:rsidDel="00000000" w:rsidR="00000000" w:rsidRPr="00000000">
              <w:rPr>
                <w:rFonts w:ascii="Times New Roman" w:cs="Times New Roman" w:eastAsia="Times New Roman" w:hAnsi="Times New Roman"/>
                <w:sz w:val="24"/>
                <w:szCs w:val="24"/>
                <w:rtl w:val="0"/>
              </w:rPr>
              <w:tab/>
              <w:t xml:space="preserve">18</w:t>
            </w:r>
          </w:hyperlink>
          <w:r w:rsidDel="00000000" w:rsidR="00000000" w:rsidRPr="00000000">
            <w:rPr>
              <w:rtl w:val="0"/>
            </w:rPr>
          </w:r>
        </w:p>
        <w:p w:rsidR="00000000" w:rsidDel="00000000" w:rsidP="00000000" w:rsidRDefault="00000000" w:rsidRPr="00000000" w14:paraId="0000002B">
          <w:pPr>
            <w:tabs>
              <w:tab w:val="right" w:leader="none" w:pos="8828"/>
            </w:tabs>
            <w:spacing w:after="100" w:line="480" w:lineRule="auto"/>
            <w:ind w:left="480" w:firstLine="284.00000000000006"/>
            <w:rPr>
              <w:rFonts w:ascii="Aptos" w:cs="Aptos" w:eastAsia="Aptos" w:hAnsi="Aptos"/>
              <w:sz w:val="24"/>
              <w:szCs w:val="24"/>
            </w:rPr>
          </w:pPr>
          <w:hyperlink w:anchor="_heading=h.xitonzbhonbb">
            <w:r w:rsidDel="00000000" w:rsidR="00000000" w:rsidRPr="00000000">
              <w:rPr>
                <w:rFonts w:ascii="Times New Roman" w:cs="Times New Roman" w:eastAsia="Times New Roman" w:hAnsi="Times New Roman"/>
                <w:color w:val="467886"/>
                <w:sz w:val="24"/>
                <w:szCs w:val="24"/>
                <w:u w:val="single"/>
                <w:rtl w:val="0"/>
              </w:rPr>
              <w:t xml:space="preserve">2.6 Marco legal</w:t>
            </w:r>
          </w:hyperlink>
          <w:hyperlink w:anchor="_heading=h.xitonzbhonbb">
            <w:r w:rsidDel="00000000" w:rsidR="00000000" w:rsidRPr="00000000">
              <w:rPr>
                <w:rFonts w:ascii="Times New Roman" w:cs="Times New Roman" w:eastAsia="Times New Roman" w:hAnsi="Times New Roman"/>
                <w:sz w:val="24"/>
                <w:szCs w:val="24"/>
                <w:rtl w:val="0"/>
              </w:rPr>
              <w:tab/>
              <w:t xml:space="preserve">19</w:t>
            </w:r>
          </w:hyperlink>
          <w:r w:rsidDel="00000000" w:rsidR="00000000" w:rsidRPr="00000000">
            <w:rPr>
              <w:rtl w:val="0"/>
            </w:rPr>
          </w:r>
        </w:p>
        <w:p w:rsidR="00000000" w:rsidDel="00000000" w:rsidP="00000000" w:rsidRDefault="00000000" w:rsidRPr="00000000" w14:paraId="0000002C">
          <w:pPr>
            <w:tabs>
              <w:tab w:val="right" w:leader="none" w:pos="8828"/>
            </w:tabs>
            <w:spacing w:after="100" w:line="480" w:lineRule="auto"/>
            <w:ind w:firstLine="284"/>
            <w:rPr>
              <w:rFonts w:ascii="Aptos" w:cs="Aptos" w:eastAsia="Aptos" w:hAnsi="Aptos"/>
              <w:sz w:val="24"/>
              <w:szCs w:val="24"/>
            </w:rPr>
          </w:pPr>
          <w:hyperlink w:anchor="_heading=h.52j0fd1p72i">
            <w:r w:rsidDel="00000000" w:rsidR="00000000" w:rsidRPr="00000000">
              <w:rPr>
                <w:rFonts w:ascii="Times New Roman" w:cs="Times New Roman" w:eastAsia="Times New Roman" w:hAnsi="Times New Roman"/>
                <w:color w:val="467886"/>
                <w:sz w:val="24"/>
                <w:szCs w:val="24"/>
                <w:u w:val="single"/>
                <w:rtl w:val="0"/>
              </w:rPr>
              <w:t xml:space="preserve">Capítulo III</w:t>
            </w:r>
          </w:hyperlink>
          <w:hyperlink w:anchor="_heading=h.52j0fd1p72i">
            <w:r w:rsidDel="00000000" w:rsidR="00000000" w:rsidRPr="00000000">
              <w:rPr>
                <w:rFonts w:ascii="Times New Roman" w:cs="Times New Roman" w:eastAsia="Times New Roman" w:hAnsi="Times New Roman"/>
                <w:sz w:val="24"/>
                <w:szCs w:val="24"/>
                <w:rtl w:val="0"/>
              </w:rPr>
              <w:tab/>
              <w:t xml:space="preserve">21</w:t>
            </w:r>
          </w:hyperlink>
          <w:r w:rsidDel="00000000" w:rsidR="00000000" w:rsidRPr="00000000">
            <w:rPr>
              <w:rtl w:val="0"/>
            </w:rPr>
          </w:r>
        </w:p>
        <w:p w:rsidR="00000000" w:rsidDel="00000000" w:rsidP="00000000" w:rsidRDefault="00000000" w:rsidRPr="00000000" w14:paraId="0000002D">
          <w:pPr>
            <w:tabs>
              <w:tab w:val="right" w:leader="none" w:pos="8828"/>
            </w:tabs>
            <w:spacing w:after="100" w:line="480" w:lineRule="auto"/>
            <w:ind w:left="240" w:firstLine="284"/>
            <w:rPr>
              <w:rFonts w:ascii="Aptos" w:cs="Aptos" w:eastAsia="Aptos" w:hAnsi="Aptos"/>
              <w:sz w:val="24"/>
              <w:szCs w:val="24"/>
            </w:rPr>
          </w:pPr>
          <w:hyperlink w:anchor="_heading=h.z24frntnzj0o">
            <w:r w:rsidDel="00000000" w:rsidR="00000000" w:rsidRPr="00000000">
              <w:rPr>
                <w:rFonts w:ascii="Times New Roman" w:cs="Times New Roman" w:eastAsia="Times New Roman" w:hAnsi="Times New Roman"/>
                <w:color w:val="467886"/>
                <w:sz w:val="24"/>
                <w:szCs w:val="24"/>
                <w:u w:val="single"/>
                <w:rtl w:val="0"/>
              </w:rPr>
              <w:t xml:space="preserve">3. Metodología</w:t>
            </w:r>
          </w:hyperlink>
          <w:hyperlink w:anchor="_heading=h.z24frntnzj0o">
            <w:r w:rsidDel="00000000" w:rsidR="00000000" w:rsidRPr="00000000">
              <w:rPr>
                <w:rFonts w:ascii="Times New Roman" w:cs="Times New Roman" w:eastAsia="Times New Roman" w:hAnsi="Times New Roman"/>
                <w:sz w:val="24"/>
                <w:szCs w:val="24"/>
                <w:rtl w:val="0"/>
              </w:rPr>
              <w:tab/>
              <w:t xml:space="preserve">21</w:t>
            </w:r>
          </w:hyperlink>
          <w:r w:rsidDel="00000000" w:rsidR="00000000" w:rsidRPr="00000000">
            <w:rPr>
              <w:rtl w:val="0"/>
            </w:rPr>
          </w:r>
        </w:p>
        <w:p w:rsidR="00000000" w:rsidDel="00000000" w:rsidP="00000000" w:rsidRDefault="00000000" w:rsidRPr="00000000" w14:paraId="0000002E">
          <w:pPr>
            <w:tabs>
              <w:tab w:val="right" w:leader="none" w:pos="8828"/>
            </w:tabs>
            <w:spacing w:after="100" w:line="480" w:lineRule="auto"/>
            <w:ind w:left="480" w:firstLine="284.00000000000006"/>
            <w:rPr>
              <w:rFonts w:ascii="Aptos" w:cs="Aptos" w:eastAsia="Aptos" w:hAnsi="Aptos"/>
              <w:sz w:val="24"/>
              <w:szCs w:val="24"/>
            </w:rPr>
          </w:pPr>
          <w:hyperlink w:anchor="_heading=h.lsktno15hg3o">
            <w:r w:rsidDel="00000000" w:rsidR="00000000" w:rsidRPr="00000000">
              <w:rPr>
                <w:rFonts w:ascii="Times New Roman" w:cs="Times New Roman" w:eastAsia="Times New Roman" w:hAnsi="Times New Roman"/>
                <w:color w:val="467886"/>
                <w:sz w:val="24"/>
                <w:szCs w:val="24"/>
                <w:u w:val="single"/>
                <w:rtl w:val="0"/>
              </w:rPr>
              <w:t xml:space="preserve">3.1 Tipo de investigación</w:t>
            </w:r>
          </w:hyperlink>
          <w:hyperlink w:anchor="_heading=h.lsktno15hg3o">
            <w:r w:rsidDel="00000000" w:rsidR="00000000" w:rsidRPr="00000000">
              <w:rPr>
                <w:rFonts w:ascii="Times New Roman" w:cs="Times New Roman" w:eastAsia="Times New Roman" w:hAnsi="Times New Roman"/>
                <w:sz w:val="24"/>
                <w:szCs w:val="24"/>
                <w:rtl w:val="0"/>
              </w:rPr>
              <w:tab/>
              <w:t xml:space="preserve">21</w:t>
            </w:r>
          </w:hyperlink>
          <w:r w:rsidDel="00000000" w:rsidR="00000000" w:rsidRPr="00000000">
            <w:rPr>
              <w:rtl w:val="0"/>
            </w:rPr>
          </w:r>
        </w:p>
        <w:p w:rsidR="00000000" w:rsidDel="00000000" w:rsidP="00000000" w:rsidRDefault="00000000" w:rsidRPr="00000000" w14:paraId="0000002F">
          <w:pPr>
            <w:tabs>
              <w:tab w:val="right" w:leader="none" w:pos="8828"/>
            </w:tabs>
            <w:spacing w:after="100" w:line="480" w:lineRule="auto"/>
            <w:ind w:left="480" w:firstLine="284.00000000000006"/>
            <w:rPr>
              <w:rFonts w:ascii="Aptos" w:cs="Aptos" w:eastAsia="Aptos" w:hAnsi="Aptos"/>
              <w:sz w:val="24"/>
              <w:szCs w:val="24"/>
            </w:rPr>
          </w:pPr>
          <w:hyperlink w:anchor="_heading=h.3ukqzrz9j8wv">
            <w:r w:rsidDel="00000000" w:rsidR="00000000" w:rsidRPr="00000000">
              <w:rPr>
                <w:rFonts w:ascii="Times New Roman" w:cs="Times New Roman" w:eastAsia="Times New Roman" w:hAnsi="Times New Roman"/>
                <w:color w:val="467886"/>
                <w:sz w:val="24"/>
                <w:szCs w:val="24"/>
                <w:u w:val="single"/>
                <w:rtl w:val="0"/>
              </w:rPr>
              <w:t xml:space="preserve">3.2 Diseño metodológico</w:t>
            </w:r>
          </w:hyperlink>
          <w:hyperlink w:anchor="_heading=h.3ukqzrz9j8wv">
            <w:r w:rsidDel="00000000" w:rsidR="00000000" w:rsidRPr="00000000">
              <w:rPr>
                <w:rFonts w:ascii="Times New Roman" w:cs="Times New Roman" w:eastAsia="Times New Roman" w:hAnsi="Times New Roman"/>
                <w:sz w:val="24"/>
                <w:szCs w:val="24"/>
                <w:rtl w:val="0"/>
              </w:rPr>
              <w:tab/>
              <w:t xml:space="preserve">22</w:t>
            </w:r>
          </w:hyperlink>
          <w:r w:rsidDel="00000000" w:rsidR="00000000" w:rsidRPr="00000000">
            <w:rPr>
              <w:rtl w:val="0"/>
            </w:rPr>
          </w:r>
        </w:p>
        <w:p w:rsidR="00000000" w:rsidDel="00000000" w:rsidP="00000000" w:rsidRDefault="00000000" w:rsidRPr="00000000" w14:paraId="00000030">
          <w:pPr>
            <w:tabs>
              <w:tab w:val="right" w:leader="none" w:pos="8828"/>
            </w:tabs>
            <w:spacing w:after="100" w:line="480" w:lineRule="auto"/>
            <w:ind w:left="480" w:firstLine="284.00000000000006"/>
            <w:rPr>
              <w:rFonts w:ascii="Aptos" w:cs="Aptos" w:eastAsia="Aptos" w:hAnsi="Aptos"/>
              <w:sz w:val="24"/>
              <w:szCs w:val="24"/>
            </w:rPr>
          </w:pPr>
          <w:hyperlink w:anchor="_heading=h.fcixtif6jv9b">
            <w:r w:rsidDel="00000000" w:rsidR="00000000" w:rsidRPr="00000000">
              <w:rPr>
                <w:rFonts w:ascii="Times New Roman" w:cs="Times New Roman" w:eastAsia="Times New Roman" w:hAnsi="Times New Roman"/>
                <w:color w:val="467886"/>
                <w:sz w:val="24"/>
                <w:szCs w:val="24"/>
                <w:u w:val="single"/>
                <w:rtl w:val="0"/>
              </w:rPr>
              <w:t xml:space="preserve">3.3 Técnicas de recolección de información</w:t>
            </w:r>
          </w:hyperlink>
          <w:hyperlink w:anchor="_heading=h.fcixtif6jv9b">
            <w:r w:rsidDel="00000000" w:rsidR="00000000" w:rsidRPr="00000000">
              <w:rPr>
                <w:rFonts w:ascii="Times New Roman" w:cs="Times New Roman" w:eastAsia="Times New Roman" w:hAnsi="Times New Roman"/>
                <w:sz w:val="24"/>
                <w:szCs w:val="24"/>
                <w:rtl w:val="0"/>
              </w:rPr>
              <w:tab/>
              <w:t xml:space="preserve">23</w:t>
            </w:r>
          </w:hyperlink>
          <w:r w:rsidDel="00000000" w:rsidR="00000000" w:rsidRPr="00000000">
            <w:rPr>
              <w:rtl w:val="0"/>
            </w:rPr>
          </w:r>
        </w:p>
        <w:p w:rsidR="00000000" w:rsidDel="00000000" w:rsidP="00000000" w:rsidRDefault="00000000" w:rsidRPr="00000000" w14:paraId="00000031">
          <w:pPr>
            <w:tabs>
              <w:tab w:val="right" w:leader="none" w:pos="8828"/>
            </w:tabs>
            <w:spacing w:after="100" w:line="480" w:lineRule="auto"/>
            <w:ind w:left="480" w:firstLine="284.00000000000006"/>
            <w:rPr>
              <w:rFonts w:ascii="Aptos" w:cs="Aptos" w:eastAsia="Aptos" w:hAnsi="Aptos"/>
              <w:sz w:val="24"/>
              <w:szCs w:val="24"/>
            </w:rPr>
          </w:pPr>
          <w:hyperlink w:anchor="_heading=h.5rleieonl13c">
            <w:r w:rsidDel="00000000" w:rsidR="00000000" w:rsidRPr="00000000">
              <w:rPr>
                <w:rFonts w:ascii="Times New Roman" w:cs="Times New Roman" w:eastAsia="Times New Roman" w:hAnsi="Times New Roman"/>
                <w:color w:val="467886"/>
                <w:sz w:val="24"/>
                <w:szCs w:val="24"/>
                <w:u w:val="single"/>
                <w:rtl w:val="0"/>
              </w:rPr>
              <w:t xml:space="preserve">3.3.1 Técnicas para la recolección de información</w:t>
            </w:r>
          </w:hyperlink>
          <w:hyperlink w:anchor="_heading=h.5rleieonl13c">
            <w:r w:rsidDel="00000000" w:rsidR="00000000" w:rsidRPr="00000000">
              <w:rPr>
                <w:rFonts w:ascii="Times New Roman" w:cs="Times New Roman" w:eastAsia="Times New Roman" w:hAnsi="Times New Roman"/>
                <w:sz w:val="24"/>
                <w:szCs w:val="24"/>
                <w:rtl w:val="0"/>
              </w:rPr>
              <w:tab/>
              <w:t xml:space="preserve">23</w:t>
            </w:r>
          </w:hyperlink>
          <w:r w:rsidDel="00000000" w:rsidR="00000000" w:rsidRPr="00000000">
            <w:rPr>
              <w:rtl w:val="0"/>
            </w:rPr>
          </w:r>
        </w:p>
        <w:p w:rsidR="00000000" w:rsidDel="00000000" w:rsidP="00000000" w:rsidRDefault="00000000" w:rsidRPr="00000000" w14:paraId="00000032">
          <w:pPr>
            <w:tabs>
              <w:tab w:val="right" w:leader="none" w:pos="8828"/>
            </w:tabs>
            <w:spacing w:after="100" w:line="480" w:lineRule="auto"/>
            <w:ind w:left="480" w:firstLine="284.00000000000006"/>
            <w:rPr>
              <w:rFonts w:ascii="Aptos" w:cs="Aptos" w:eastAsia="Aptos" w:hAnsi="Aptos"/>
              <w:sz w:val="24"/>
              <w:szCs w:val="24"/>
            </w:rPr>
          </w:pPr>
          <w:hyperlink w:anchor="_heading=h.op954agm31eg">
            <w:r w:rsidDel="00000000" w:rsidR="00000000" w:rsidRPr="00000000">
              <w:rPr>
                <w:rFonts w:ascii="Times New Roman" w:cs="Times New Roman" w:eastAsia="Times New Roman" w:hAnsi="Times New Roman"/>
                <w:color w:val="467886"/>
                <w:sz w:val="24"/>
                <w:szCs w:val="24"/>
                <w:u w:val="single"/>
                <w:rtl w:val="0"/>
              </w:rPr>
              <w:t xml:space="preserve">3.3.2 Instrumentos para la recolección de la información</w:t>
            </w:r>
          </w:hyperlink>
          <w:hyperlink w:anchor="_heading=h.op954agm31eg">
            <w:r w:rsidDel="00000000" w:rsidR="00000000" w:rsidRPr="00000000">
              <w:rPr>
                <w:rFonts w:ascii="Times New Roman" w:cs="Times New Roman" w:eastAsia="Times New Roman" w:hAnsi="Times New Roman"/>
                <w:sz w:val="24"/>
                <w:szCs w:val="24"/>
                <w:rtl w:val="0"/>
              </w:rPr>
              <w:tab/>
              <w:t xml:space="preserve">23</w:t>
            </w:r>
          </w:hyperlink>
          <w:r w:rsidDel="00000000" w:rsidR="00000000" w:rsidRPr="00000000">
            <w:rPr>
              <w:rtl w:val="0"/>
            </w:rPr>
          </w:r>
        </w:p>
        <w:p w:rsidR="00000000" w:rsidDel="00000000" w:rsidP="00000000" w:rsidRDefault="00000000" w:rsidRPr="00000000" w14:paraId="00000033">
          <w:pPr>
            <w:tabs>
              <w:tab w:val="right" w:leader="none" w:pos="8828"/>
            </w:tabs>
            <w:spacing w:after="100" w:line="480" w:lineRule="auto"/>
            <w:ind w:left="480" w:firstLine="284.00000000000006"/>
            <w:rPr>
              <w:rFonts w:ascii="Aptos" w:cs="Aptos" w:eastAsia="Aptos" w:hAnsi="Aptos"/>
              <w:sz w:val="24"/>
              <w:szCs w:val="24"/>
            </w:rPr>
          </w:pPr>
          <w:hyperlink w:anchor="_heading=h.qoesnwgpbdu8">
            <w:r w:rsidDel="00000000" w:rsidR="00000000" w:rsidRPr="00000000">
              <w:rPr>
                <w:rFonts w:ascii="Times New Roman" w:cs="Times New Roman" w:eastAsia="Times New Roman" w:hAnsi="Times New Roman"/>
                <w:color w:val="467886"/>
                <w:sz w:val="24"/>
                <w:szCs w:val="24"/>
                <w:u w:val="single"/>
                <w:rtl w:val="0"/>
              </w:rPr>
              <w:t xml:space="preserve">3.4 Población y muestra</w:t>
            </w:r>
          </w:hyperlink>
          <w:hyperlink w:anchor="_heading=h.qoesnwgpbdu8">
            <w:r w:rsidDel="00000000" w:rsidR="00000000" w:rsidRPr="00000000">
              <w:rPr>
                <w:rFonts w:ascii="Times New Roman" w:cs="Times New Roman" w:eastAsia="Times New Roman" w:hAnsi="Times New Roman"/>
                <w:sz w:val="24"/>
                <w:szCs w:val="24"/>
                <w:rtl w:val="0"/>
              </w:rPr>
              <w:tab/>
              <w:t xml:space="preserve">24</w:t>
            </w:r>
          </w:hyperlink>
          <w:r w:rsidDel="00000000" w:rsidR="00000000" w:rsidRPr="00000000">
            <w:rPr>
              <w:rtl w:val="0"/>
            </w:rPr>
          </w:r>
        </w:p>
        <w:p w:rsidR="00000000" w:rsidDel="00000000" w:rsidP="00000000" w:rsidRDefault="00000000" w:rsidRPr="00000000" w14:paraId="00000034">
          <w:pPr>
            <w:tabs>
              <w:tab w:val="right" w:leader="none" w:pos="8828"/>
            </w:tabs>
            <w:spacing w:after="100" w:line="480" w:lineRule="auto"/>
            <w:ind w:left="480" w:firstLine="284.00000000000006"/>
            <w:rPr>
              <w:rFonts w:ascii="Aptos" w:cs="Aptos" w:eastAsia="Aptos" w:hAnsi="Aptos"/>
              <w:sz w:val="24"/>
              <w:szCs w:val="24"/>
            </w:rPr>
          </w:pPr>
          <w:hyperlink w:anchor="_heading=h.bv5l40b5mug0">
            <w:r w:rsidDel="00000000" w:rsidR="00000000" w:rsidRPr="00000000">
              <w:rPr>
                <w:rFonts w:ascii="Times New Roman" w:cs="Times New Roman" w:eastAsia="Times New Roman" w:hAnsi="Times New Roman"/>
                <w:color w:val="467886"/>
                <w:sz w:val="24"/>
                <w:szCs w:val="24"/>
                <w:u w:val="single"/>
                <w:rtl w:val="0"/>
              </w:rPr>
              <w:t xml:space="preserve">3.5 Cronograma</w:t>
            </w:r>
          </w:hyperlink>
          <w:hyperlink w:anchor="_heading=h.bv5l40b5mug0">
            <w:r w:rsidDel="00000000" w:rsidR="00000000" w:rsidRPr="00000000">
              <w:rPr>
                <w:rFonts w:ascii="Times New Roman" w:cs="Times New Roman" w:eastAsia="Times New Roman" w:hAnsi="Times New Roman"/>
                <w:sz w:val="24"/>
                <w:szCs w:val="24"/>
                <w:rtl w:val="0"/>
              </w:rPr>
              <w:tab/>
              <w:t xml:space="preserve">25</w:t>
            </w:r>
          </w:hyperlink>
          <w:r w:rsidDel="00000000" w:rsidR="00000000" w:rsidRPr="00000000">
            <w:rPr>
              <w:rtl w:val="0"/>
            </w:rPr>
          </w:r>
        </w:p>
        <w:p w:rsidR="00000000" w:rsidDel="00000000" w:rsidP="00000000" w:rsidRDefault="00000000" w:rsidRPr="00000000" w14:paraId="00000035">
          <w:pPr>
            <w:tabs>
              <w:tab w:val="right" w:leader="none" w:pos="8828"/>
            </w:tabs>
            <w:spacing w:after="100" w:line="480" w:lineRule="auto"/>
            <w:ind w:firstLine="284"/>
            <w:rPr>
              <w:rFonts w:ascii="Aptos" w:cs="Aptos" w:eastAsia="Aptos" w:hAnsi="Aptos"/>
              <w:sz w:val="24"/>
              <w:szCs w:val="24"/>
            </w:rPr>
          </w:pPr>
          <w:hyperlink w:anchor="_heading=h.3o5vm33a3cvu">
            <w:r w:rsidDel="00000000" w:rsidR="00000000" w:rsidRPr="00000000">
              <w:rPr>
                <w:rFonts w:ascii="Times New Roman" w:cs="Times New Roman" w:eastAsia="Times New Roman" w:hAnsi="Times New Roman"/>
                <w:color w:val="467886"/>
                <w:sz w:val="24"/>
                <w:szCs w:val="24"/>
                <w:u w:val="single"/>
                <w:rtl w:val="0"/>
              </w:rPr>
              <w:t xml:space="preserve">Capítulo IV</w:t>
            </w:r>
          </w:hyperlink>
          <w:hyperlink w:anchor="_heading=h.3o5vm33a3cvu">
            <w:r w:rsidDel="00000000" w:rsidR="00000000" w:rsidRPr="00000000">
              <w:rPr>
                <w:rFonts w:ascii="Times New Roman" w:cs="Times New Roman" w:eastAsia="Times New Roman" w:hAnsi="Times New Roman"/>
                <w:sz w:val="24"/>
                <w:szCs w:val="24"/>
                <w:rtl w:val="0"/>
              </w:rPr>
              <w:tab/>
              <w:t xml:space="preserve">27</w:t>
            </w:r>
          </w:hyperlink>
          <w:r w:rsidDel="00000000" w:rsidR="00000000" w:rsidRPr="00000000">
            <w:rPr>
              <w:rtl w:val="0"/>
            </w:rPr>
          </w:r>
        </w:p>
        <w:p w:rsidR="00000000" w:rsidDel="00000000" w:rsidP="00000000" w:rsidRDefault="00000000" w:rsidRPr="00000000" w14:paraId="00000036">
          <w:pPr>
            <w:tabs>
              <w:tab w:val="right" w:leader="none" w:pos="8828"/>
            </w:tabs>
            <w:spacing w:after="100" w:line="480" w:lineRule="auto"/>
            <w:ind w:left="240" w:firstLine="284"/>
            <w:rPr>
              <w:rFonts w:ascii="Aptos" w:cs="Aptos" w:eastAsia="Aptos" w:hAnsi="Aptos"/>
              <w:sz w:val="24"/>
              <w:szCs w:val="24"/>
            </w:rPr>
          </w:pPr>
          <w:hyperlink w:anchor="_heading=h.8nsh4dotgc52">
            <w:r w:rsidDel="00000000" w:rsidR="00000000" w:rsidRPr="00000000">
              <w:rPr>
                <w:rFonts w:ascii="Times New Roman" w:cs="Times New Roman" w:eastAsia="Times New Roman" w:hAnsi="Times New Roman"/>
                <w:color w:val="467886"/>
                <w:sz w:val="24"/>
                <w:szCs w:val="24"/>
                <w:u w:val="single"/>
                <w:rtl w:val="0"/>
              </w:rPr>
              <w:t xml:space="preserve">4. Resultados</w:t>
            </w:r>
          </w:hyperlink>
          <w:hyperlink w:anchor="_heading=h.8nsh4dotgc52">
            <w:r w:rsidDel="00000000" w:rsidR="00000000" w:rsidRPr="00000000">
              <w:rPr>
                <w:rFonts w:ascii="Times New Roman" w:cs="Times New Roman" w:eastAsia="Times New Roman" w:hAnsi="Times New Roman"/>
                <w:sz w:val="24"/>
                <w:szCs w:val="24"/>
                <w:rtl w:val="0"/>
              </w:rPr>
              <w:tab/>
              <w:t xml:space="preserve">27</w:t>
            </w:r>
          </w:hyperlink>
          <w:r w:rsidDel="00000000" w:rsidR="00000000" w:rsidRPr="00000000">
            <w:rPr>
              <w:rtl w:val="0"/>
            </w:rPr>
          </w:r>
        </w:p>
        <w:p w:rsidR="00000000" w:rsidDel="00000000" w:rsidP="00000000" w:rsidRDefault="00000000" w:rsidRPr="00000000" w14:paraId="00000037">
          <w:pPr>
            <w:tabs>
              <w:tab w:val="right" w:leader="none" w:pos="8828"/>
            </w:tabs>
            <w:spacing w:after="100" w:line="480" w:lineRule="auto"/>
            <w:ind w:left="480" w:firstLine="284.00000000000006"/>
            <w:rPr>
              <w:rFonts w:ascii="Aptos" w:cs="Aptos" w:eastAsia="Aptos" w:hAnsi="Aptos"/>
              <w:sz w:val="24"/>
              <w:szCs w:val="24"/>
            </w:rPr>
          </w:pPr>
          <w:hyperlink w:anchor="_heading=h.2q13kz6rvkfr">
            <w:r w:rsidDel="00000000" w:rsidR="00000000" w:rsidRPr="00000000">
              <w:rPr>
                <w:rFonts w:ascii="Times New Roman" w:cs="Times New Roman" w:eastAsia="Times New Roman" w:hAnsi="Times New Roman"/>
                <w:color w:val="467886"/>
                <w:sz w:val="24"/>
                <w:szCs w:val="24"/>
                <w:u w:val="single"/>
                <w:rtl w:val="0"/>
              </w:rPr>
              <w:t xml:space="preserve">4.1 Conclusiones</w:t>
            </w:r>
          </w:hyperlink>
          <w:hyperlink w:anchor="_heading=h.2q13kz6rvkfr">
            <w:r w:rsidDel="00000000" w:rsidR="00000000" w:rsidRPr="00000000">
              <w:rPr>
                <w:rFonts w:ascii="Times New Roman" w:cs="Times New Roman" w:eastAsia="Times New Roman" w:hAnsi="Times New Roman"/>
                <w:sz w:val="24"/>
                <w:szCs w:val="24"/>
                <w:rtl w:val="0"/>
              </w:rPr>
              <w:tab/>
              <w:t xml:space="preserve">28</w:t>
            </w:r>
          </w:hyperlink>
          <w:r w:rsidDel="00000000" w:rsidR="00000000" w:rsidRPr="00000000">
            <w:rPr>
              <w:rtl w:val="0"/>
            </w:rPr>
          </w:r>
        </w:p>
        <w:p w:rsidR="00000000" w:rsidDel="00000000" w:rsidP="00000000" w:rsidRDefault="00000000" w:rsidRPr="00000000" w14:paraId="00000038">
          <w:pPr>
            <w:tabs>
              <w:tab w:val="right" w:leader="none" w:pos="8828"/>
            </w:tabs>
            <w:spacing w:after="100" w:line="480" w:lineRule="auto"/>
            <w:ind w:left="240" w:firstLine="284"/>
            <w:rPr>
              <w:rFonts w:ascii="Aptos" w:cs="Aptos" w:eastAsia="Aptos" w:hAnsi="Aptos"/>
              <w:sz w:val="24"/>
              <w:szCs w:val="24"/>
            </w:rPr>
          </w:pPr>
          <w:hyperlink w:anchor="_heading=h.flgru1oacecc">
            <w:r w:rsidDel="00000000" w:rsidR="00000000" w:rsidRPr="00000000">
              <w:rPr>
                <w:rFonts w:ascii="Times New Roman" w:cs="Times New Roman" w:eastAsia="Times New Roman" w:hAnsi="Times New Roman"/>
                <w:color w:val="467886"/>
                <w:sz w:val="24"/>
                <w:szCs w:val="24"/>
                <w:u w:val="single"/>
                <w:rtl w:val="0"/>
              </w:rPr>
              <w:t xml:space="preserve">Referencias bibliográficas</w:t>
            </w:r>
          </w:hyperlink>
          <w:hyperlink w:anchor="_heading=h.flgru1oacecc">
            <w:r w:rsidDel="00000000" w:rsidR="00000000" w:rsidRPr="00000000">
              <w:rPr>
                <w:rFonts w:ascii="Times New Roman" w:cs="Times New Roman" w:eastAsia="Times New Roman" w:hAnsi="Times New Roman"/>
                <w:sz w:val="24"/>
                <w:szCs w:val="24"/>
                <w:rtl w:val="0"/>
              </w:rPr>
              <w:tab/>
              <w:t xml:space="preserve">29</w:t>
            </w:r>
          </w:hyperlink>
          <w:r w:rsidDel="00000000" w:rsidR="00000000" w:rsidRPr="00000000">
            <w:rPr>
              <w:rtl w:val="0"/>
            </w:rPr>
          </w:r>
        </w:p>
        <w:p w:rsidR="00000000" w:rsidDel="00000000" w:rsidP="00000000" w:rsidRDefault="00000000" w:rsidRPr="00000000" w14:paraId="00000039">
          <w:pPr>
            <w:spacing w:after="0" w:line="480" w:lineRule="auto"/>
            <w:ind w:firstLine="284"/>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keepNext w:val="1"/>
        <w:keepLines w:val="1"/>
        <w:pageBreakBefore w:val="1"/>
        <w:spacing w:after="80" w:before="360" w:line="480" w:lineRule="auto"/>
        <w:ind w:firstLine="284"/>
        <w:jc w:val="center"/>
        <w:rPr>
          <w:rFonts w:ascii="Times New Roman" w:cs="Times New Roman" w:eastAsia="Times New Roman" w:hAnsi="Times New Roman"/>
          <w:b w:val="1"/>
          <w:bCs w:val="1"/>
          <w:sz w:val="24"/>
          <w:szCs w:val="24"/>
        </w:rPr>
      </w:pPr>
      <w:bookmarkStart w:colFirst="0" w:colLast="0" w:name="_heading=h.hqv40s6v7dr8" w:id="0"/>
      <w:bookmarkEnd w:id="0"/>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3B">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Colombia, las entidades sin ánimo de lucro canalizan cada año recursos privados hacia causas sociales; en 2025, el 54 % de los colombianos donó dinero y el 20 % donó bienes (Charities Aid Foundation [CAF], 2025). Sin embargo, una vez el aporte sale de manos del donante, su recorrido suele perderse: los sistemas de información de muchas organizaciones registran solo el estado actual de los recursos y sobrescriben la historia, de modo que no es posible demostrar en qué se convirtió una donación ni quién la recibió.</w:t>
      </w:r>
    </w:p>
    <w:p w:rsidR="00000000" w:rsidDel="00000000" w:rsidP="00000000" w:rsidRDefault="00000000" w:rsidRPr="00000000" w14:paraId="0000003C">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de aula aborda ese problema mediante el desarrollo de un motor de trazabilidad verificable de donaciones, construido como un monolito modular en Java 21 y Spring Boot. El sistema registra cada hecho del ciclo de vida —ingreso financiero, compra de insumos, movimiento logístico, recepción y entrega— como un evento inmutable (Fowler, 2005), encadena criptográficamente esos eventos mediante canonicalización JSON y SHA-256 (Rundgren et al., 2020; National Institute of Standards and Technology [NIST], 2015) y ancla periódicamente una raíz de Merkle en una red blockchain de prueba (Merkle, 1988; Nakamoto, 2008). Los datos personales permanecen fuera de la cadena, en cumplimiento de la Ley 1581 de 2012.</w:t>
      </w:r>
    </w:p>
    <w:p w:rsidR="00000000" w:rsidDel="00000000" w:rsidP="00000000" w:rsidRDefault="00000000" w:rsidRPr="00000000" w14:paraId="0000003D">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comprende el análisis del dominio, el diseño arquitectónico documentado en registros de decisión (ADR), la codificación de los módulos, su verificación con pruebas automatizadas sobre infraestructura real y la implementación de un escenario demostrativo de extremo a extremo. No se integra una pasarela de pago real ni se despliega en una red blockchain principal.</w:t>
      </w:r>
    </w:p>
    <w:p w:rsidR="00000000" w:rsidDel="00000000" w:rsidP="00000000" w:rsidRDefault="00000000" w:rsidRPr="00000000" w14:paraId="0000003E">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se organiza en cuatro capítulos: el primero plantea el problema, la justificación y los objetivos; el segundo presenta el estado del arte y los marcos teórico, contextual y legal; el tercero describe la metodología; y el cuarto expone los resultados obtenidos y las conclusiones.</w:t>
      </w:r>
    </w:p>
    <w:p w:rsidR="00000000" w:rsidDel="00000000" w:rsidP="00000000" w:rsidRDefault="00000000" w:rsidRPr="00000000" w14:paraId="0000003F">
      <w:pPr>
        <w:keepNext w:val="1"/>
        <w:keepLines w:val="1"/>
        <w:pageBreakBefore w:val="1"/>
        <w:spacing w:after="80" w:before="360" w:line="480" w:lineRule="auto"/>
        <w:ind w:firstLine="284"/>
        <w:jc w:val="center"/>
        <w:rPr>
          <w:rFonts w:ascii="Times New Roman" w:cs="Times New Roman" w:eastAsia="Times New Roman" w:hAnsi="Times New Roman"/>
          <w:b w:val="1"/>
          <w:bCs w:val="1"/>
          <w:sz w:val="24"/>
          <w:szCs w:val="24"/>
        </w:rPr>
      </w:pPr>
      <w:bookmarkStart w:colFirst="0" w:colLast="0" w:name="_heading=h.9u6eoy2i2y7a" w:id="1"/>
      <w:bookmarkEnd w:id="1"/>
      <w:r w:rsidDel="00000000" w:rsidR="00000000" w:rsidRPr="00000000">
        <w:rPr>
          <w:rFonts w:ascii="Times New Roman" w:cs="Times New Roman" w:eastAsia="Times New Roman" w:hAnsi="Times New Roman"/>
          <w:b w:val="1"/>
          <w:bCs w:val="1"/>
          <w:sz w:val="24"/>
          <w:szCs w:val="24"/>
          <w:rtl w:val="0"/>
        </w:rPr>
        <w:t xml:space="preserve">Capítulo I</w:t>
      </w:r>
    </w:p>
    <w:p w:rsidR="00000000" w:rsidDel="00000000" w:rsidP="00000000" w:rsidRDefault="00000000" w:rsidRPr="00000000" w14:paraId="00000040">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lkvi9txdmxu7" w:id="2"/>
      <w:bookmarkEnd w:id="2"/>
      <w:r w:rsidDel="00000000" w:rsidR="00000000" w:rsidRPr="00000000">
        <w:rPr>
          <w:rFonts w:ascii="Times New Roman" w:cs="Times New Roman" w:eastAsia="Times New Roman" w:hAnsi="Times New Roman"/>
          <w:b w:val="1"/>
          <w:bCs w:val="1"/>
          <w:sz w:val="24"/>
          <w:szCs w:val="24"/>
          <w:rtl w:val="0"/>
        </w:rPr>
        <w:t xml:space="preserve">1. Problema</w:t>
      </w:r>
    </w:p>
    <w:p w:rsidR="00000000" w:rsidDel="00000000" w:rsidP="00000000" w:rsidRDefault="00000000" w:rsidRPr="00000000" w14:paraId="00000041">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odfa7f7madie" w:id="3"/>
      <w:bookmarkEnd w:id="3"/>
      <w:r w:rsidDel="00000000" w:rsidR="00000000" w:rsidRPr="00000000">
        <w:rPr>
          <w:rFonts w:ascii="Times New Roman" w:cs="Times New Roman" w:eastAsia="Times New Roman" w:hAnsi="Times New Roman"/>
          <w:b w:val="1"/>
          <w:bCs w:val="1"/>
          <w:sz w:val="24"/>
          <w:szCs w:val="24"/>
          <w:rtl w:val="0"/>
        </w:rPr>
        <w:t xml:space="preserve">1.1 Descripción del problema</w:t>
      </w:r>
    </w:p>
    <w:p w:rsidR="00000000" w:rsidDel="00000000" w:rsidP="00000000" w:rsidRDefault="00000000" w:rsidRPr="00000000" w14:paraId="00000042">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organizaciones sociales dependen de la confianza del donante. El World Giving Report 2025 indica que, aunque el 60 % de los colombianos considera que las organizaciones sociales tienen un impacto local positivo, el 15 % desconfía del uso eficiente de los recursos, cifra que aumentó cinco puntos frente a 2024, y el 14 % aún no sabe a qué entidades donar ni cómo hacerlo (CAF, 2025). La desconfianza hacia los canales formales no es nueva: con datos del World Giving Index 2013, Colombia ocupaba el cuarto lugar mundial en ayuda a desconocidos, pero el puesto 54 entre 135 países en donaciones a organizaciones benéficas (Conexión Colombia, 2014).</w:t>
      </w:r>
    </w:p>
    <w:p w:rsidR="00000000" w:rsidDel="00000000" w:rsidP="00000000" w:rsidRDefault="00000000" w:rsidRPr="00000000" w14:paraId="00000043">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de esa desconfianza se explica por la limitada rendición de cuentas. En el estudio de la Asociación de Fundaciones Familiares y Empresariales, Villar Gómez (2018) encontró que, aunque el 97 % de las fundaciones produce un informe de actividades, este “solamente es de acceso público en 74 % de las fundaciones” (p. 38); además, el 26 % no pone a disposición del público sus estados financieros auditados y “40 % no publican los resúmenes de gastos que producen” (p. 38).</w:t>
      </w:r>
    </w:p>
    <w:p w:rsidR="00000000" w:rsidDel="00000000" w:rsidP="00000000" w:rsidRDefault="00000000" w:rsidRPr="00000000" w14:paraId="00000044">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esta brecha se suma un problema técnico. Los sistemas de gestión convencionales se construyen como aplicaciones CRUD, en las que cada actualización reemplaza el estado anterior; así, el historial de una donación —cuándo se recibió, en qué se invirtió, por qué bodega pasó y a quién se entregó— no se conserva o puede modificarse sin dejar rastro. Además, el flujo financiero (el dinero recibido y asignado) y el flujo físico (los kits o insumos comprados con ese dinero) suelen registrarse en herramientas separadas, sin una correlación que permita reconstruir el recorrido completo. Cuando la organización quiere publicar información para ganar credibilidad, enfrenta un tercer obstáculo: los registros mezclan datos personales de donantes y beneficiarios, protegidos por la Ley 1581 de 2012, con los datos que podrían hacerse públicos.</w:t>
      </w:r>
    </w:p>
    <w:p w:rsidR="00000000" w:rsidDel="00000000" w:rsidP="00000000" w:rsidRDefault="00000000" w:rsidRPr="00000000" w14:paraId="00000045">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consecuencia, el donante no puede verificar el destino de su aporte, las auditorías dependen de la buena fe de quien custodia los registros y los desvíos o pérdidas pueden pasar inadvertidos. Para el equipo de trabajo, estudiantes de Ingeniería de Sistemas del Tecnológico Comfenalco, el reto consiste en diseñar un sistema en el que la integridad de la historia no dependa de confiar en la propia organización, sino de mecanismos verificables por terceros, sin sacrificar la privacidad de las personas involucradas.</w:t>
      </w:r>
    </w:p>
    <w:p w:rsidR="00000000" w:rsidDel="00000000" w:rsidP="00000000" w:rsidRDefault="00000000" w:rsidRPr="00000000" w14:paraId="00000046">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if24qhsxloe2" w:id="4"/>
      <w:bookmarkEnd w:id="4"/>
      <w:r w:rsidDel="00000000" w:rsidR="00000000" w:rsidRPr="00000000">
        <w:rPr>
          <w:rFonts w:ascii="Times New Roman" w:cs="Times New Roman" w:eastAsia="Times New Roman" w:hAnsi="Times New Roman"/>
          <w:b w:val="1"/>
          <w:bCs w:val="1"/>
          <w:sz w:val="24"/>
          <w:szCs w:val="24"/>
          <w:rtl w:val="0"/>
        </w:rPr>
        <w:t xml:space="preserve">1.2 Pregunta problema</w:t>
      </w:r>
    </w:p>
    <w:p w:rsidR="00000000" w:rsidDel="00000000" w:rsidP="00000000" w:rsidRDefault="00000000" w:rsidRPr="00000000" w14:paraId="00000047">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desarrollar un motor de software que permita a las organizaciones sociales colombianas registrar y demostrar de forma verificable e inalterable el ciclo de vida de las donaciones, desde el ingreso financiero hasta la entrega al beneficiario, sin exponer los datos personales de donantes y beneficiarios?</w:t>
      </w:r>
    </w:p>
    <w:p w:rsidR="00000000" w:rsidDel="00000000" w:rsidP="00000000" w:rsidRDefault="00000000" w:rsidRPr="00000000" w14:paraId="00000048">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2q9dnh5cfm52" w:id="5"/>
      <w:bookmarkEnd w:id="5"/>
      <w:r w:rsidDel="00000000" w:rsidR="00000000" w:rsidRPr="00000000">
        <w:rPr>
          <w:rFonts w:ascii="Times New Roman" w:cs="Times New Roman" w:eastAsia="Times New Roman" w:hAnsi="Times New Roman"/>
          <w:b w:val="1"/>
          <w:bCs w:val="1"/>
          <w:sz w:val="24"/>
          <w:szCs w:val="24"/>
          <w:rtl w:val="0"/>
        </w:rPr>
        <w:t xml:space="preserve">1.3 Árbol del problema</w:t>
      </w:r>
    </w:p>
    <w:p w:rsidR="00000000" w:rsidDel="00000000" w:rsidP="00000000" w:rsidRDefault="00000000" w:rsidRPr="00000000" w14:paraId="00000049">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1 presenta el árbol del problema construido a partir de la descripción anterior: en la parte inferior se ubican las causas y subcausas, en el centro el problema principal y en la parte superior sus efectos.</w:t>
      </w:r>
    </w:p>
    <w:p w:rsidR="00000000" w:rsidDel="00000000" w:rsidP="00000000" w:rsidRDefault="00000000" w:rsidRPr="00000000" w14:paraId="0000004A">
      <w:pPr>
        <w:keepNext w:val="1"/>
        <w:spacing w:after="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w:t>
      </w:r>
      <w:r w:rsidDel="00000000" w:rsidR="00000000" w:rsidRPr="00000000">
        <w:rPr>
          <w:rtl w:val="0"/>
        </w:rPr>
      </w:r>
    </w:p>
    <w:p w:rsidR="00000000" w:rsidDel="00000000" w:rsidP="00000000" w:rsidRDefault="00000000" w:rsidRPr="00000000" w14:paraId="0000004B">
      <w:pPr>
        <w:keepNext w:val="1"/>
        <w:spacing w:after="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Árbol del problema</w:t>
      </w:r>
      <w:r w:rsidDel="00000000" w:rsidR="00000000" w:rsidRPr="00000000">
        <w:rPr>
          <w:rtl w:val="0"/>
        </w:rPr>
      </w:r>
    </w:p>
    <w:p w:rsidR="00000000" w:rsidDel="00000000" w:rsidP="00000000" w:rsidRDefault="00000000" w:rsidRPr="00000000" w14:paraId="0000004C">
      <w:pPr>
        <w:spacing w:after="0" w:line="480" w:lineRule="auto"/>
        <w:rPr>
          <w:rFonts w:ascii="Times New Roman" w:cs="Times New Roman" w:eastAsia="Times New Roman" w:hAnsi="Times New Roman"/>
          <w:sz w:val="24"/>
          <w:szCs w:val="24"/>
        </w:rPr>
      </w:pPr>
      <w:r w:rsidDel="00000000" w:rsidR="00000000" w:rsidRPr="00000000">
        <w:rPr/>
        <w:drawing>
          <wp:inline distB="0" distT="0" distL="0" distR="0">
            <wp:extent cx="5400040" cy="3005870"/>
            <wp:effectExtent b="0" l="0" r="0" t="0"/>
            <wp:docPr descr="Imagen que contiene captura de pantalla&#10;&#10;Descripción generada automáticamente" id="531674222" name="image3.png"/>
            <a:graphic>
              <a:graphicData uri="http://schemas.openxmlformats.org/drawingml/2006/picture">
                <pic:pic>
                  <pic:nvPicPr>
                    <pic:cNvPr descr="Imagen que contiene captura de pantalla&#10;&#10;Descripción generada automáticamente" id="0" name="image3.png"/>
                    <pic:cNvPicPr preferRelativeResize="0"/>
                  </pic:nvPicPr>
                  <pic:blipFill>
                    <a:blip r:embed="rId7"/>
                    <a:srcRect b="0" l="0" r="0" t="0"/>
                    <a:stretch>
                      <a:fillRect/>
                    </a:stretch>
                  </pic:blipFill>
                  <pic:spPr>
                    <a:xfrm>
                      <a:off x="0" y="0"/>
                      <a:ext cx="5400040" cy="300587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Elaboración propia a partir de CAF (2025) y Villar Gómez (2018).</w:t>
      </w:r>
    </w:p>
    <w:p w:rsidR="00000000" w:rsidDel="00000000" w:rsidP="00000000" w:rsidRDefault="00000000" w:rsidRPr="00000000" w14:paraId="0000004E">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od3vbt2qvl27" w:id="6"/>
      <w:bookmarkEnd w:id="6"/>
      <w:r w:rsidDel="00000000" w:rsidR="00000000" w:rsidRPr="00000000">
        <w:rPr>
          <w:rFonts w:ascii="Times New Roman" w:cs="Times New Roman" w:eastAsia="Times New Roman" w:hAnsi="Times New Roman"/>
          <w:b w:val="1"/>
          <w:bCs w:val="1"/>
          <w:sz w:val="24"/>
          <w:szCs w:val="24"/>
          <w:rtl w:val="0"/>
        </w:rPr>
        <w:t xml:space="preserve">1.4 Justificación</w:t>
      </w:r>
    </w:p>
    <w:p w:rsidR="00000000" w:rsidDel="00000000" w:rsidP="00000000" w:rsidRDefault="00000000" w:rsidRPr="00000000" w14:paraId="0000004F">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 qué.</w:t>
      </w:r>
      <w:r w:rsidDel="00000000" w:rsidR="00000000" w:rsidRPr="00000000">
        <w:rPr>
          <w:rFonts w:ascii="Times New Roman" w:cs="Times New Roman" w:eastAsia="Times New Roman" w:hAnsi="Times New Roman"/>
          <w:sz w:val="24"/>
          <w:szCs w:val="24"/>
          <w:rtl w:val="0"/>
        </w:rPr>
        <w:t xml:space="preserve"> La transparencia es una condición para que las personas sigan donando por canales formales, y hoy no existe un mecanismo accesible para que una organización social demuestre, con evidencia verificable por terceros, que una donación llegó a su destino. Las soluciones basadas únicamente en informes o en bases de datos convencionales exigen confiar en quien los produce; en cambio, un registro de eventos inmutable y encadenado criptográficamente permite detectar cualquier alteración de la historia (Fowler, 2005; Merkle, 1988).</w:t>
      </w:r>
    </w:p>
    <w:p w:rsidR="00000000" w:rsidDel="00000000" w:rsidP="00000000" w:rsidRDefault="00000000" w:rsidRPr="00000000" w14:paraId="00000050">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 qué.</w:t>
      </w:r>
      <w:r w:rsidDel="00000000" w:rsidR="00000000" w:rsidRPr="00000000">
        <w:rPr>
          <w:rFonts w:ascii="Times New Roman" w:cs="Times New Roman" w:eastAsia="Times New Roman" w:hAnsi="Times New Roman"/>
          <w:sz w:val="24"/>
          <w:szCs w:val="24"/>
          <w:rtl w:val="0"/>
        </w:rPr>
        <w:t xml:space="preserve"> El motor busca que cada paso del ciclo de vida de una donación quede registrado como un hecho histórico, con su actor, su momento y su relación con el paso anterior; que la integridad del conjunto pueda comprobarse contra una raíz de Merkle anclada en una red blockchain pública de prueba; y que el donante consulte la línea de tiempo de su aporte mediante un código de seguimiento, acompañada de un resumen en lenguaje natural generado por inteligencia artificial a partir de hechos verificados, nunca de inferencias del modelo (Ji et al., 2023). Todo ello manteniendo los datos personales fuera de cualquier información pública o anclada, conforme a la Ley 1581 de 2012 y al principio de protección de datos desde el diseño del Reglamento (UE) 2016/679.</w:t>
      </w:r>
    </w:p>
    <w:p w:rsidR="00000000" w:rsidDel="00000000" w:rsidP="00000000" w:rsidRDefault="00000000" w:rsidRPr="00000000" w14:paraId="00000051">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Fonts w:ascii="Times New Roman" w:cs="Times New Roman" w:eastAsia="Times New Roman" w:hAnsi="Times New Roman"/>
          <w:sz w:val="24"/>
          <w:szCs w:val="24"/>
          <w:rtl w:val="0"/>
        </w:rPr>
        <w:t xml:space="preserve"> Para los donantes, el sistema ofrece la posibilidad de verificar el destino de su aporte sin crear una cuenta ni manejar billeteras criptográficas. Para las fundaciones, representa una herramienta de rendición de cuentas que facilita el cumplimiento de las obligaciones de publicación del régimen tributario especial (Decreto 2150 de 2017) y fortalece su reputación. Para los beneficiarios, garantiza que su identidad nunca se expone en la cadena pública. En lo académico, el proyecto integra contenidos de Ingeniería de Sistemas —arquitectura de software, persistencia, criptografía aplicada, servicios en la nube, aplicaciones móviles e inteligencia artificial— en un producto con criterios profesionales de calidad, como la documentación de decisiones mediante ADR y la exigencia de evidencia de ejecución real de las pruebas.</w:t>
      </w:r>
    </w:p>
    <w:p w:rsidR="00000000" w:rsidDel="00000000" w:rsidP="00000000" w:rsidRDefault="00000000" w:rsidRPr="00000000" w14:paraId="00000052">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mgv2o291qgu" w:id="7"/>
      <w:bookmarkEnd w:id="7"/>
      <w:r w:rsidDel="00000000" w:rsidR="00000000" w:rsidRPr="00000000">
        <w:rPr>
          <w:rFonts w:ascii="Times New Roman" w:cs="Times New Roman" w:eastAsia="Times New Roman" w:hAnsi="Times New Roman"/>
          <w:b w:val="1"/>
          <w:bCs w:val="1"/>
          <w:sz w:val="24"/>
          <w:szCs w:val="24"/>
          <w:rtl w:val="0"/>
        </w:rPr>
        <w:t xml:space="preserve">1.5 Objetivos</w:t>
      </w:r>
    </w:p>
    <w:p w:rsidR="00000000" w:rsidDel="00000000" w:rsidP="00000000" w:rsidRDefault="00000000" w:rsidRPr="00000000" w14:paraId="00000053">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x8q3xrpp7yah" w:id="8"/>
      <w:bookmarkEnd w:id="8"/>
      <w:r w:rsidDel="00000000" w:rsidR="00000000" w:rsidRPr="00000000">
        <w:rPr>
          <w:rFonts w:ascii="Times New Roman" w:cs="Times New Roman" w:eastAsia="Times New Roman" w:hAnsi="Times New Roman"/>
          <w:b w:val="1"/>
          <w:bCs w:val="1"/>
          <w:sz w:val="24"/>
          <w:szCs w:val="24"/>
          <w:rtl w:val="0"/>
        </w:rPr>
        <w:t xml:space="preserve">1.5.1 Objetivo general</w:t>
      </w:r>
    </w:p>
    <w:p w:rsidR="00000000" w:rsidDel="00000000" w:rsidP="00000000" w:rsidRDefault="00000000" w:rsidRPr="00000000" w14:paraId="00000054">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motor de trazabilidad verificable de donaciones, basado en Event Sourcing y en mecanismos de integridad criptográfica (canonicalización JCS, SHA-256, árboles de Merkle y anclaje en blockchain), que permita a las organizaciones sociales registrar y demostrar el ciclo de vida de cada donación, desde el ingreso financiero hasta la entrega al beneficiario, con protección de los datos personales.</w:t>
      </w:r>
    </w:p>
    <w:p w:rsidR="00000000" w:rsidDel="00000000" w:rsidP="00000000" w:rsidRDefault="00000000" w:rsidRPr="00000000" w14:paraId="00000055">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sg7fw9gvakpq" w:id="9"/>
      <w:bookmarkEnd w:id="9"/>
      <w:r w:rsidDel="00000000" w:rsidR="00000000" w:rsidRPr="00000000">
        <w:rPr>
          <w:rFonts w:ascii="Times New Roman" w:cs="Times New Roman" w:eastAsia="Times New Roman" w:hAnsi="Times New Roman"/>
          <w:b w:val="1"/>
          <w:bCs w:val="1"/>
          <w:sz w:val="24"/>
          <w:szCs w:val="24"/>
          <w:rtl w:val="0"/>
        </w:rPr>
        <w:t xml:space="preserve">1.5.2 Objetivos específicos</w:t>
      </w:r>
    </w:p>
    <w:p w:rsidR="00000000" w:rsidDel="00000000" w:rsidP="00000000" w:rsidRDefault="00000000" w:rsidRPr="00000000" w14:paraId="00000056">
      <w:pPr>
        <w:numPr>
          <w:ilvl w:val="0"/>
          <w:numId w:val="1"/>
        </w:numPr>
        <w:spacing w:after="0" w:line="480" w:lineRule="auto"/>
        <w:ind w:left="100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Analizar</w:t>
      </w:r>
      <w:r w:rsidDel="00000000" w:rsidR="00000000" w:rsidRPr="00000000">
        <w:rPr>
          <w:rFonts w:ascii="Times New Roman" w:cs="Times New Roman" w:eastAsia="Times New Roman" w:hAnsi="Times New Roman"/>
          <w:sz w:val="24"/>
          <w:szCs w:val="24"/>
          <w:rtl w:val="0"/>
        </w:rPr>
        <w:t xml:space="preserve"> el ciclo de vida de las donaciones (ingreso financiero, transformación en recursos físicos, movimiento logístico, recepción y entrega) y la normativa colombiana de protección de datos y transparencia aplicable, para identificar los invariantes de negocio, los actores y los requisitos de privacidad del sistema.</w:t>
      </w:r>
    </w:p>
    <w:p w:rsidR="00000000" w:rsidDel="00000000" w:rsidP="00000000" w:rsidRDefault="00000000" w:rsidRPr="00000000" w14:paraId="00000057">
      <w:pPr>
        <w:numPr>
          <w:ilvl w:val="0"/>
          <w:numId w:val="1"/>
        </w:numPr>
        <w:spacing w:after="0" w:line="480" w:lineRule="auto"/>
        <w:ind w:left="100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Diseñar</w:t>
      </w:r>
      <w:r w:rsidDel="00000000" w:rsidR="00000000" w:rsidRPr="00000000">
        <w:rPr>
          <w:rFonts w:ascii="Times New Roman" w:cs="Times New Roman" w:eastAsia="Times New Roman" w:hAnsi="Times New Roman"/>
          <w:sz w:val="24"/>
          <w:szCs w:val="24"/>
          <w:rtl w:val="0"/>
        </w:rPr>
        <w:t xml:space="preserve"> la arquitectura del motor como un monolito modular con Event Sourcing, CQRS y puertos y adaptadores, documentando cada decisión significativa en registros de decisión arquitectónica (ADR).</w:t>
      </w:r>
    </w:p>
    <w:p w:rsidR="00000000" w:rsidDel="00000000" w:rsidP="00000000" w:rsidRDefault="00000000" w:rsidRPr="00000000" w14:paraId="00000058">
      <w:pPr>
        <w:numPr>
          <w:ilvl w:val="0"/>
          <w:numId w:val="1"/>
        </w:numPr>
        <w:spacing w:after="0" w:line="480" w:lineRule="auto"/>
        <w:ind w:left="100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Codificar</w:t>
      </w:r>
      <w:r w:rsidDel="00000000" w:rsidR="00000000" w:rsidRPr="00000000">
        <w:rPr>
          <w:rFonts w:ascii="Times New Roman" w:cs="Times New Roman" w:eastAsia="Times New Roman" w:hAnsi="Times New Roman"/>
          <w:sz w:val="24"/>
          <w:szCs w:val="24"/>
          <w:rtl w:val="0"/>
        </w:rPr>
        <w:t xml:space="preserve"> los módulos del motor (contracts, core, crypto, ai, api, identity y app) en Java 21 y Spring Boot 3.4.4, con persistencia en MongoDB, encadenamiento criptográfico de eventos y anclaje de raíces de Merkle mediante Web3j.</w:t>
      </w:r>
    </w:p>
    <w:p w:rsidR="00000000" w:rsidDel="00000000" w:rsidP="00000000" w:rsidRDefault="00000000" w:rsidRPr="00000000" w14:paraId="00000059">
      <w:pPr>
        <w:numPr>
          <w:ilvl w:val="0"/>
          <w:numId w:val="1"/>
        </w:numPr>
        <w:spacing w:after="0" w:line="480" w:lineRule="auto"/>
        <w:ind w:left="100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Verificar</w:t>
      </w:r>
      <w:r w:rsidDel="00000000" w:rsidR="00000000" w:rsidRPr="00000000">
        <w:rPr>
          <w:rFonts w:ascii="Times New Roman" w:cs="Times New Roman" w:eastAsia="Times New Roman" w:hAnsi="Times New Roman"/>
          <w:sz w:val="24"/>
          <w:szCs w:val="24"/>
          <w:rtl w:val="0"/>
        </w:rPr>
        <w:t xml:space="preserve"> el cumplimiento de los invariantes de dominio, el control de concurrencia, la integridad criptográfica y las fronteras entre módulos mediante pruebas unitarias, de integración con Testcontainers y de arquitectura con ArchUnit, con evidencia de ejecución real.</w:t>
      </w:r>
    </w:p>
    <w:p w:rsidR="00000000" w:rsidDel="00000000" w:rsidP="00000000" w:rsidRDefault="00000000" w:rsidRPr="00000000" w14:paraId="0000005A">
      <w:pPr>
        <w:numPr>
          <w:ilvl w:val="0"/>
          <w:numId w:val="1"/>
        </w:numPr>
        <w:spacing w:after="0" w:line="480" w:lineRule="auto"/>
        <w:ind w:left="100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Implementar</w:t>
      </w:r>
      <w:r w:rsidDel="00000000" w:rsidR="00000000" w:rsidRPr="00000000">
        <w:rPr>
          <w:rFonts w:ascii="Times New Roman" w:cs="Times New Roman" w:eastAsia="Times New Roman" w:hAnsi="Times New Roman"/>
          <w:sz w:val="24"/>
          <w:szCs w:val="24"/>
          <w:rtl w:val="0"/>
        </w:rPr>
        <w:t xml:space="preserve"> un escenario demostrativo de extremo a extremo que integre la convocatoria, la donación, su transformación en especie, la logística, el anclaje en una red blockchain de prueba y la consulta pública con narrativa generada por inteligencia artificial.</w:t>
      </w:r>
    </w:p>
    <w:p w:rsidR="00000000" w:rsidDel="00000000" w:rsidP="00000000" w:rsidRDefault="00000000" w:rsidRPr="00000000" w14:paraId="0000005B">
      <w:pPr>
        <w:keepNext w:val="1"/>
        <w:keepLines w:val="1"/>
        <w:pageBreakBefore w:val="1"/>
        <w:spacing w:after="80" w:before="360" w:line="480" w:lineRule="auto"/>
        <w:ind w:firstLine="284"/>
        <w:jc w:val="center"/>
        <w:rPr>
          <w:rFonts w:ascii="Times New Roman" w:cs="Times New Roman" w:eastAsia="Times New Roman" w:hAnsi="Times New Roman"/>
          <w:b w:val="1"/>
          <w:bCs w:val="1"/>
          <w:sz w:val="24"/>
          <w:szCs w:val="24"/>
        </w:rPr>
      </w:pPr>
      <w:bookmarkStart w:colFirst="0" w:colLast="0" w:name="_heading=h.bopen8ananto" w:id="10"/>
      <w:bookmarkEnd w:id="10"/>
      <w:r w:rsidDel="00000000" w:rsidR="00000000" w:rsidRPr="00000000">
        <w:rPr>
          <w:rFonts w:ascii="Times New Roman" w:cs="Times New Roman" w:eastAsia="Times New Roman" w:hAnsi="Times New Roman"/>
          <w:b w:val="1"/>
          <w:bCs w:val="1"/>
          <w:sz w:val="24"/>
          <w:szCs w:val="24"/>
          <w:rtl w:val="0"/>
        </w:rPr>
        <w:t xml:space="preserve">Capítulo II</w:t>
      </w:r>
    </w:p>
    <w:p w:rsidR="00000000" w:rsidDel="00000000" w:rsidP="00000000" w:rsidRDefault="00000000" w:rsidRPr="00000000" w14:paraId="0000005C">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p0onis820nd5" w:id="11"/>
      <w:bookmarkEnd w:id="11"/>
      <w:r w:rsidDel="00000000" w:rsidR="00000000" w:rsidRPr="00000000">
        <w:rPr>
          <w:rFonts w:ascii="Times New Roman" w:cs="Times New Roman" w:eastAsia="Times New Roman" w:hAnsi="Times New Roman"/>
          <w:b w:val="1"/>
          <w:bCs w:val="1"/>
          <w:sz w:val="24"/>
          <w:szCs w:val="24"/>
          <w:rtl w:val="0"/>
        </w:rPr>
        <w:t xml:space="preserve">2. Estado del arte</w:t>
      </w:r>
    </w:p>
    <w:p w:rsidR="00000000" w:rsidDel="00000000" w:rsidP="00000000" w:rsidRDefault="00000000" w:rsidRPr="00000000" w14:paraId="0000005D">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se construyó a partir de una búsqueda en repositorios institucionales y bases de datos académicas con los términos </w:t>
      </w:r>
      <w:r w:rsidDel="00000000" w:rsidR="00000000" w:rsidRPr="00000000">
        <w:rPr>
          <w:rFonts w:ascii="Times New Roman" w:cs="Times New Roman" w:eastAsia="Times New Roman" w:hAnsi="Times New Roman"/>
          <w:i w:val="1"/>
          <w:iCs w:val="1"/>
          <w:sz w:val="24"/>
          <w:szCs w:val="24"/>
          <w:rtl w:val="0"/>
        </w:rPr>
        <w:t xml:space="preserve">trazabilidad de donaciones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blockchain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transparencia de organizaciones sin ánimo de lucro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iCs w:val="1"/>
          <w:sz w:val="24"/>
          <w:szCs w:val="24"/>
          <w:rtl w:val="0"/>
        </w:rPr>
        <w:t xml:space="preserve">logística de donaciones</w:t>
      </w:r>
      <w:r w:rsidDel="00000000" w:rsidR="00000000" w:rsidRPr="00000000">
        <w:rPr>
          <w:rFonts w:ascii="Times New Roman" w:cs="Times New Roman" w:eastAsia="Times New Roman" w:hAnsi="Times New Roman"/>
          <w:sz w:val="24"/>
          <w:szCs w:val="24"/>
          <w:rtl w:val="0"/>
        </w:rPr>
        <w:t xml:space="preserve">. Se seleccionaron trabajos relacionados directamente con el problema planteado.</w:t>
      </w:r>
    </w:p>
    <w:p w:rsidR="00000000" w:rsidDel="00000000" w:rsidP="00000000" w:rsidRDefault="00000000" w:rsidRPr="00000000" w14:paraId="0000005E">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x617gt5oj564" w:id="12"/>
      <w:bookmarkEnd w:id="12"/>
      <w:r w:rsidDel="00000000" w:rsidR="00000000" w:rsidRPr="00000000">
        <w:rPr>
          <w:rFonts w:ascii="Times New Roman" w:cs="Times New Roman" w:eastAsia="Times New Roman" w:hAnsi="Times New Roman"/>
          <w:b w:val="1"/>
          <w:bCs w:val="1"/>
          <w:sz w:val="24"/>
          <w:szCs w:val="24"/>
          <w:rtl w:val="0"/>
        </w:rPr>
        <w:t xml:space="preserve">2.1 Antecedentes internacionales</w:t>
      </w:r>
    </w:p>
    <w:p w:rsidR="00000000" w:rsidDel="00000000" w:rsidP="00000000" w:rsidRDefault="00000000" w:rsidRPr="00000000" w14:paraId="0000005F">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Fonts w:ascii="Times New Roman" w:cs="Times New Roman" w:eastAsia="Times New Roman" w:hAnsi="Times New Roman"/>
          <w:sz w:val="24"/>
          <w:szCs w:val="24"/>
          <w:rtl w:val="0"/>
        </w:rPr>
        <w:t xml:space="preserve"> Jorge Tardío Rubio. </w:t>
      </w:r>
      <w:r w:rsidDel="00000000" w:rsidR="00000000" w:rsidRPr="00000000">
        <w:rPr>
          <w:rFonts w:ascii="Times New Roman" w:cs="Times New Roman" w:eastAsia="Times New Roman" w:hAnsi="Times New Roman"/>
          <w:b w:val="1"/>
          <w:bCs w:val="1"/>
          <w:sz w:val="24"/>
          <w:szCs w:val="24"/>
          <w:rtl w:val="0"/>
        </w:rPr>
        <w:t xml:space="preserve">Año:</w:t>
      </w:r>
      <w:r w:rsidDel="00000000" w:rsidR="00000000" w:rsidRPr="00000000">
        <w:rPr>
          <w:rFonts w:ascii="Times New Roman" w:cs="Times New Roman" w:eastAsia="Times New Roman" w:hAnsi="Times New Roman"/>
          <w:sz w:val="24"/>
          <w:szCs w:val="24"/>
          <w:rtl w:val="0"/>
        </w:rPr>
        <w:t xml:space="preserve"> 2020. </w:t>
      </w: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Diseño e implementación de trazabilidad y confianza de un sistema de donaciones y voluntariado con incentivos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Título académico:</w:t>
      </w:r>
      <w:r w:rsidDel="00000000" w:rsidR="00000000" w:rsidRPr="00000000">
        <w:rPr>
          <w:rFonts w:ascii="Times New Roman" w:cs="Times New Roman" w:eastAsia="Times New Roman" w:hAnsi="Times New Roman"/>
          <w:sz w:val="24"/>
          <w:szCs w:val="24"/>
          <w:rtl w:val="0"/>
        </w:rPr>
        <w:t xml:space="preserve"> Grado en Ingeniería de Tecnologías y Servicios de Telecomunicación, Universidad Politécnica de Madrid (España).</w:t>
      </w:r>
    </w:p>
    <w:p w:rsidR="00000000" w:rsidDel="00000000" w:rsidP="00000000" w:rsidRDefault="00000000" w:rsidRPr="00000000" w14:paraId="00000060">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trabajo parte de la desconfianza como principal barrera para donar y se propone construir una plataforma que conecte donantes con personas vulnerables y organizaciones no gubernamentales, en la que los intercambios de bienes sean trazables y transparentes. Metodológicamente, implementó el sistema sobre Hyperledger Fabric con el marco Convector, Firebase para autenticación y almacenamiento, y Angular para la capa de presentación. Como resultado obtuvo un registro inmutable de transacciones que brinda trazabilidad y confianza entre los participantes (Tardío Rubio, 2020).</w:t>
      </w:r>
    </w:p>
    <w:p w:rsidR="00000000" w:rsidDel="00000000" w:rsidP="00000000" w:rsidRDefault="00000000" w:rsidRPr="00000000" w14:paraId="00000061">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Aporte:</w:t>
      </w:r>
      <w:r w:rsidDel="00000000" w:rsidR="00000000" w:rsidRPr="00000000">
        <w:rPr>
          <w:rFonts w:ascii="Times New Roman" w:cs="Times New Roman" w:eastAsia="Times New Roman" w:hAnsi="Times New Roman"/>
          <w:sz w:val="24"/>
          <w:szCs w:val="24"/>
          <w:rtl w:val="0"/>
        </w:rPr>
        <w:t xml:space="preserve"> confirma que la desconfianza es el problema de fondo y muestra una alternativa con blockchain permisionada como almacén principal. El presente proyecto toma una decisión distinta: la fuente de verdad es un Event Store propio y la blockchain se usa solo como ancla de integridad, lo que reduce costos y evita exponer datos.</w:t>
      </w:r>
    </w:p>
    <w:p w:rsidR="00000000" w:rsidDel="00000000" w:rsidP="00000000" w:rsidRDefault="00000000" w:rsidRPr="00000000" w14:paraId="00000062">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Fonts w:ascii="Times New Roman" w:cs="Times New Roman" w:eastAsia="Times New Roman" w:hAnsi="Times New Roman"/>
          <w:sz w:val="24"/>
          <w:szCs w:val="24"/>
          <w:rtl w:val="0"/>
        </w:rPr>
        <w:t xml:space="preserve"> Lucas Alberto Martínez Luna. </w:t>
      </w:r>
      <w:r w:rsidDel="00000000" w:rsidR="00000000" w:rsidRPr="00000000">
        <w:rPr>
          <w:rFonts w:ascii="Times New Roman" w:cs="Times New Roman" w:eastAsia="Times New Roman" w:hAnsi="Times New Roman"/>
          <w:b w:val="1"/>
          <w:bCs w:val="1"/>
          <w:sz w:val="24"/>
          <w:szCs w:val="24"/>
          <w:rtl w:val="0"/>
        </w:rPr>
        <w:t xml:space="preserve">Año:</w:t>
      </w:r>
      <w:r w:rsidDel="00000000" w:rsidR="00000000" w:rsidRPr="00000000">
        <w:rPr>
          <w:rFonts w:ascii="Times New Roman" w:cs="Times New Roman" w:eastAsia="Times New Roman" w:hAnsi="Times New Roman"/>
          <w:sz w:val="24"/>
          <w:szCs w:val="24"/>
          <w:rtl w:val="0"/>
        </w:rPr>
        <w:t xml:space="preserve"> 2022. </w:t>
      </w: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Sistema de gestión de donaciones de ONGs con la tecnología blockchain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Título académico:</w:t>
      </w:r>
      <w:r w:rsidDel="00000000" w:rsidR="00000000" w:rsidRPr="00000000">
        <w:rPr>
          <w:rFonts w:ascii="Times New Roman" w:cs="Times New Roman" w:eastAsia="Times New Roman" w:hAnsi="Times New Roman"/>
          <w:sz w:val="24"/>
          <w:szCs w:val="24"/>
          <w:rtl w:val="0"/>
        </w:rPr>
        <w:t xml:space="preserve"> Grado en Ingeniería en Tecnologías de Telecomunicación, Universidad Pontificia Comillas (España).</w:t>
      </w:r>
    </w:p>
    <w:p w:rsidR="00000000" w:rsidDel="00000000" w:rsidP="00000000" w:rsidRDefault="00000000" w:rsidRPr="00000000" w14:paraId="00000063">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objetivo fue diseñar e implementar una aplicación web que usara blockchain para gestionar las donaciones de organizaciones no lucrativas, con énfasis en transparencia y seguridad. Siguió prácticas ágiles y construyó una API REST con Spring Boot y PostgreSQL, contratos inteligentes en Ethereum probados sobre Ganache y una interfaz web con Web3.js. Entregó interfaces para donantes, organizaciones y administradores, creación de tokens ERC-20, donaciones a través de MetaMask y verificación de transacciones en la cadena (Martínez Luna, 2022).</w:t>
      </w:r>
    </w:p>
    <w:p w:rsidR="00000000" w:rsidDel="00000000" w:rsidP="00000000" w:rsidRDefault="00000000" w:rsidRPr="00000000" w14:paraId="00000064">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Aporte:</w:t>
      </w:r>
      <w:r w:rsidDel="00000000" w:rsidR="00000000" w:rsidRPr="00000000">
        <w:rPr>
          <w:rFonts w:ascii="Times New Roman" w:cs="Times New Roman" w:eastAsia="Times New Roman" w:hAnsi="Times New Roman"/>
          <w:sz w:val="24"/>
          <w:szCs w:val="24"/>
          <w:rtl w:val="0"/>
        </w:rPr>
        <w:t xml:space="preserve"> valida la viabilidad del ecosistema Java/Spring Boot con Ethereum y Ganache, el mismo usado en este proyecto para las pruebas de anclaje. Como diferencia, el presente motor no obliga al donante a usar billeteras criptográficas y registra también el recorrido físico de los recursos, no solo la transacción monetaria.</w:t>
      </w:r>
    </w:p>
    <w:p w:rsidR="00000000" w:rsidDel="00000000" w:rsidP="00000000" w:rsidRDefault="00000000" w:rsidRPr="00000000" w14:paraId="00000065">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Fonts w:ascii="Times New Roman" w:cs="Times New Roman" w:eastAsia="Times New Roman" w:hAnsi="Times New Roman"/>
          <w:sz w:val="24"/>
          <w:szCs w:val="24"/>
          <w:rtl w:val="0"/>
        </w:rPr>
        <w:t xml:space="preserve"> Carlos Ugaz-Burga, Rossy Valverde-Grados y Daniel Cárdenas-Salas. </w:t>
      </w:r>
      <w:r w:rsidDel="00000000" w:rsidR="00000000" w:rsidRPr="00000000">
        <w:rPr>
          <w:rFonts w:ascii="Times New Roman" w:cs="Times New Roman" w:eastAsia="Times New Roman" w:hAnsi="Times New Roman"/>
          <w:b w:val="1"/>
          <w:bCs w:val="1"/>
          <w:sz w:val="24"/>
          <w:szCs w:val="24"/>
          <w:rtl w:val="0"/>
        </w:rPr>
        <w:t xml:space="preserve">Año:</w:t>
      </w:r>
      <w:r w:rsidDel="00000000" w:rsidR="00000000" w:rsidRPr="00000000">
        <w:rPr>
          <w:rFonts w:ascii="Times New Roman" w:cs="Times New Roman" w:eastAsia="Times New Roman" w:hAnsi="Times New Roman"/>
          <w:sz w:val="24"/>
          <w:szCs w:val="24"/>
          <w:rtl w:val="0"/>
        </w:rPr>
        <w:t xml:space="preserve"> 2021. </w:t>
      </w: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Blockchain and smart contract for donation traceability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artículo de investigación de la Universidad de Lima (Perú), publicado en las memorias de la 5th International Conference on Trends in Electronics and Informatics.</w:t>
      </w:r>
    </w:p>
    <w:p w:rsidR="00000000" w:rsidDel="00000000" w:rsidP="00000000" w:rsidRDefault="00000000" w:rsidRPr="00000000" w14:paraId="00000066">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parten de que una organización que administra donaciones tiene problemas para controlar el flujo de entrada y salida de recursos y no conoce con precisión su origen ni su destino. Propusieron una red Ethereum privada con un contrato inteligente que permite al donante seguir su aporte a lo largo de la cadena de distribución, y validaron la propuesta con herramientas técnicas y juicio de expertos, concluyendo que es viable técnica y procedimentalmente (Ugaz-Burga et al., 2021).</w:t>
      </w:r>
    </w:p>
    <w:p w:rsidR="00000000" w:rsidDel="00000000" w:rsidP="00000000" w:rsidRDefault="00000000" w:rsidRPr="00000000" w14:paraId="00000067">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Aporte:</w:t>
      </w:r>
      <w:r w:rsidDel="00000000" w:rsidR="00000000" w:rsidRPr="00000000">
        <w:rPr>
          <w:rFonts w:ascii="Times New Roman" w:cs="Times New Roman" w:eastAsia="Times New Roman" w:hAnsi="Times New Roman"/>
          <w:sz w:val="24"/>
          <w:szCs w:val="24"/>
          <w:rtl w:val="0"/>
        </w:rPr>
        <w:t xml:space="preserve"> describe un problema regional latinoamericano idéntico al abordado aquí y respalda el seguimiento de la donación hasta el destinatario final.</w:t>
      </w:r>
    </w:p>
    <w:p w:rsidR="00000000" w:rsidDel="00000000" w:rsidP="00000000" w:rsidRDefault="00000000" w:rsidRPr="00000000" w14:paraId="00000068">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nvuz2j3aq6w5" w:id="13"/>
      <w:bookmarkEnd w:id="13"/>
      <w:r w:rsidDel="00000000" w:rsidR="00000000" w:rsidRPr="00000000">
        <w:rPr>
          <w:rFonts w:ascii="Times New Roman" w:cs="Times New Roman" w:eastAsia="Times New Roman" w:hAnsi="Times New Roman"/>
          <w:b w:val="1"/>
          <w:bCs w:val="1"/>
          <w:sz w:val="24"/>
          <w:szCs w:val="24"/>
          <w:rtl w:val="0"/>
        </w:rPr>
        <w:t xml:space="preserve">2.2 Antecedentes nacionales</w:t>
      </w:r>
    </w:p>
    <w:p w:rsidR="00000000" w:rsidDel="00000000" w:rsidP="00000000" w:rsidRDefault="00000000" w:rsidRPr="00000000" w14:paraId="00000069">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Fonts w:ascii="Times New Roman" w:cs="Times New Roman" w:eastAsia="Times New Roman" w:hAnsi="Times New Roman"/>
          <w:sz w:val="24"/>
          <w:szCs w:val="24"/>
          <w:rtl w:val="0"/>
        </w:rPr>
        <w:t xml:space="preserve"> Oscar David Rozo Gallo. </w:t>
      </w:r>
      <w:r w:rsidDel="00000000" w:rsidR="00000000" w:rsidRPr="00000000">
        <w:rPr>
          <w:rFonts w:ascii="Times New Roman" w:cs="Times New Roman" w:eastAsia="Times New Roman" w:hAnsi="Times New Roman"/>
          <w:b w:val="1"/>
          <w:bCs w:val="1"/>
          <w:sz w:val="24"/>
          <w:szCs w:val="24"/>
          <w:rtl w:val="0"/>
        </w:rPr>
        <w:t xml:space="preserve">Año:</w:t>
      </w:r>
      <w:r w:rsidDel="00000000" w:rsidR="00000000" w:rsidRPr="00000000">
        <w:rPr>
          <w:rFonts w:ascii="Times New Roman" w:cs="Times New Roman" w:eastAsia="Times New Roman" w:hAnsi="Times New Roman"/>
          <w:sz w:val="24"/>
          <w:szCs w:val="24"/>
          <w:rtl w:val="0"/>
        </w:rPr>
        <w:t xml:space="preserve"> 2024. </w:t>
      </w: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La tecnología blockchain para el aseguramiento de la información de las historias clínicas en el sector salud en Colombia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Título académico:</w:t>
      </w:r>
      <w:r w:rsidDel="00000000" w:rsidR="00000000" w:rsidRPr="00000000">
        <w:rPr>
          <w:rFonts w:ascii="Times New Roman" w:cs="Times New Roman" w:eastAsia="Times New Roman" w:hAnsi="Times New Roman"/>
          <w:sz w:val="24"/>
          <w:szCs w:val="24"/>
          <w:rtl w:val="0"/>
        </w:rPr>
        <w:t xml:space="preserve"> Especialista en Seguridad Informática, Universidad Nacional Abierta y a Distancia (UNAD).</w:t>
      </w:r>
    </w:p>
    <w:p w:rsidR="00000000" w:rsidDel="00000000" w:rsidP="00000000" w:rsidRDefault="00000000" w:rsidRPr="00000000" w14:paraId="0000006A">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monografía analiza los retos de almacenamiento, transmisión y consulta de las historias clínicas en Colombia y propone blockchain como alternativa para asegurar su integridad. A partir de una revisión documental, recomienda una implementación gradual, la capacitación del personal, medidas como el cifrado y el control de acceso, y el cumplimiento de la Ley 1581 de 2012 de protección de datos personales (Rozo Gallo, 2024).</w:t>
      </w:r>
    </w:p>
    <w:p w:rsidR="00000000" w:rsidDel="00000000" w:rsidP="00000000" w:rsidRDefault="00000000" w:rsidRPr="00000000" w14:paraId="0000006B">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Aporte:</w:t>
      </w:r>
      <w:r w:rsidDel="00000000" w:rsidR="00000000" w:rsidRPr="00000000">
        <w:rPr>
          <w:rFonts w:ascii="Times New Roman" w:cs="Times New Roman" w:eastAsia="Times New Roman" w:hAnsi="Times New Roman"/>
          <w:sz w:val="24"/>
          <w:szCs w:val="24"/>
          <w:rtl w:val="0"/>
        </w:rPr>
        <w:t xml:space="preserve"> muestra la tensión entre la inmutabilidad de blockchain y la protección de datos personales en el contexto legal colombiano, tensión que este proyecto resuelve al mantener la información personal fuera de la cadena y anclar únicamente hashes.</w:t>
      </w:r>
    </w:p>
    <w:p w:rsidR="00000000" w:rsidDel="00000000" w:rsidP="00000000" w:rsidRDefault="00000000" w:rsidRPr="00000000" w14:paraId="0000006C">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Autora:</w:t>
      </w:r>
      <w:r w:rsidDel="00000000" w:rsidR="00000000" w:rsidRPr="00000000">
        <w:rPr>
          <w:rFonts w:ascii="Times New Roman" w:cs="Times New Roman" w:eastAsia="Times New Roman" w:hAnsi="Times New Roman"/>
          <w:sz w:val="24"/>
          <w:szCs w:val="24"/>
          <w:rtl w:val="0"/>
        </w:rPr>
        <w:t xml:space="preserve"> Eliana Villamarin Rodríguez. </w:t>
      </w:r>
      <w:r w:rsidDel="00000000" w:rsidR="00000000" w:rsidRPr="00000000">
        <w:rPr>
          <w:rFonts w:ascii="Times New Roman" w:cs="Times New Roman" w:eastAsia="Times New Roman" w:hAnsi="Times New Roman"/>
          <w:b w:val="1"/>
          <w:bCs w:val="1"/>
          <w:sz w:val="24"/>
          <w:szCs w:val="24"/>
          <w:rtl w:val="0"/>
        </w:rPr>
        <w:t xml:space="preserve">Año:</w:t>
      </w:r>
      <w:r w:rsidDel="00000000" w:rsidR="00000000" w:rsidRPr="00000000">
        <w:rPr>
          <w:rFonts w:ascii="Times New Roman" w:cs="Times New Roman" w:eastAsia="Times New Roman" w:hAnsi="Times New Roman"/>
          <w:sz w:val="24"/>
          <w:szCs w:val="24"/>
          <w:rtl w:val="0"/>
        </w:rPr>
        <w:t xml:space="preserve"> 2024. </w:t>
      </w: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Estrategias de implementación de tecnología blockchain para la trazabilidad y transparencia en las cadenas de suministro de exportaciones colombianas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Título académico:</w:t>
      </w:r>
      <w:r w:rsidDel="00000000" w:rsidR="00000000" w:rsidRPr="00000000">
        <w:rPr>
          <w:rFonts w:ascii="Times New Roman" w:cs="Times New Roman" w:eastAsia="Times New Roman" w:hAnsi="Times New Roman"/>
          <w:sz w:val="24"/>
          <w:szCs w:val="24"/>
          <w:rtl w:val="0"/>
        </w:rPr>
        <w:t xml:space="preserve"> profesional en Comercio Internacional (monografía de pregrado), Universidad Antonio Nariño, sede Cali.</w:t>
      </w:r>
    </w:p>
    <w:p w:rsidR="00000000" w:rsidDel="00000000" w:rsidP="00000000" w:rsidRDefault="00000000" w:rsidRPr="00000000" w14:paraId="0000006D">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trabajo examina cómo la tecnología puede mejorar el transporte y la gestión de datos en los procesos de exportación, y propone estrategias de implementación de blockchain para aumentar la trazabilidad y la transparencia de las cadenas de suministro colombianas (Villamarin Rodríguez, 2024).</w:t>
      </w:r>
    </w:p>
    <w:p w:rsidR="00000000" w:rsidDel="00000000" w:rsidP="00000000" w:rsidRDefault="00000000" w:rsidRPr="00000000" w14:paraId="0000006E">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Aporte:</w:t>
      </w:r>
      <w:r w:rsidDel="00000000" w:rsidR="00000000" w:rsidRPr="00000000">
        <w:rPr>
          <w:rFonts w:ascii="Times New Roman" w:cs="Times New Roman" w:eastAsia="Times New Roman" w:hAnsi="Times New Roman"/>
          <w:sz w:val="24"/>
          <w:szCs w:val="24"/>
          <w:rtl w:val="0"/>
        </w:rPr>
        <w:t xml:space="preserve"> respalda el uso de blockchain como mecanismo de trazabilidad en cadenas logísticas del país; el presente proyecto aplica esa idea a la cadena logística de las donaciones.</w:t>
      </w:r>
    </w:p>
    <w:p w:rsidR="00000000" w:rsidDel="00000000" w:rsidP="00000000" w:rsidRDefault="00000000" w:rsidRPr="00000000" w14:paraId="0000006F">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Fonts w:ascii="Times New Roman" w:cs="Times New Roman" w:eastAsia="Times New Roman" w:hAnsi="Times New Roman"/>
          <w:sz w:val="24"/>
          <w:szCs w:val="24"/>
          <w:rtl w:val="0"/>
        </w:rPr>
        <w:t xml:space="preserve"> Lina Marcela Benavides Samboní, Isabella Echeverry Rosas, Laura Alejandra Martínez Muñoz y Juan Sebastián Torres Rodríguez. </w:t>
      </w:r>
      <w:r w:rsidDel="00000000" w:rsidR="00000000" w:rsidRPr="00000000">
        <w:rPr>
          <w:rFonts w:ascii="Times New Roman" w:cs="Times New Roman" w:eastAsia="Times New Roman" w:hAnsi="Times New Roman"/>
          <w:b w:val="1"/>
          <w:bCs w:val="1"/>
          <w:sz w:val="24"/>
          <w:szCs w:val="24"/>
          <w:rtl w:val="0"/>
        </w:rPr>
        <w:t xml:space="preserve">Año:</w:t>
      </w:r>
      <w:r w:rsidDel="00000000" w:rsidR="00000000" w:rsidRPr="00000000">
        <w:rPr>
          <w:rFonts w:ascii="Times New Roman" w:cs="Times New Roman" w:eastAsia="Times New Roman" w:hAnsi="Times New Roman"/>
          <w:sz w:val="24"/>
          <w:szCs w:val="24"/>
          <w:rtl w:val="0"/>
        </w:rPr>
        <w:t xml:space="preserve"> 2023. </w:t>
      </w: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Diseño del proceso de planeación de rutas de recolección de donaciones del BAC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Título académico:</w:t>
      </w:r>
      <w:r w:rsidDel="00000000" w:rsidR="00000000" w:rsidRPr="00000000">
        <w:rPr>
          <w:rFonts w:ascii="Times New Roman" w:cs="Times New Roman" w:eastAsia="Times New Roman" w:hAnsi="Times New Roman"/>
          <w:sz w:val="24"/>
          <w:szCs w:val="24"/>
          <w:rtl w:val="0"/>
        </w:rPr>
        <w:t xml:space="preserve"> Ingeniero(a) Industrial, Pontificia Universidad Javeriana Cali.</w:t>
      </w:r>
    </w:p>
    <w:p w:rsidR="00000000" w:rsidDel="00000000" w:rsidP="00000000" w:rsidRDefault="00000000" w:rsidRPr="00000000" w14:paraId="00000070">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trabajo buscó optimizar las rutas de recolección de donaciones del Banco de Alimentos de Cali, que atiende a 272 organizaciones sociales y planificaba sus rutas de manera empírica. Aplicó la metodología de ahorros junto con el algoritmo 2-opt y logró reducir los incumplimientos en la recolección de productos frescos y los costos operativos de transporte (Benavides Samboní et al., 2023).</w:t>
      </w:r>
    </w:p>
    <w:p w:rsidR="00000000" w:rsidDel="00000000" w:rsidP="00000000" w:rsidRDefault="00000000" w:rsidRPr="00000000" w14:paraId="00000071">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Aporte:</w:t>
      </w:r>
      <w:r w:rsidDel="00000000" w:rsidR="00000000" w:rsidRPr="00000000">
        <w:rPr>
          <w:rFonts w:ascii="Times New Roman" w:cs="Times New Roman" w:eastAsia="Times New Roman" w:hAnsi="Times New Roman"/>
          <w:sz w:val="24"/>
          <w:szCs w:val="24"/>
          <w:rtl w:val="0"/>
        </w:rPr>
        <w:t xml:space="preserve"> evidencia la complejidad de la logística de las donaciones en especie en Colombia, que justifica modelar en este proyecto la custodia, la ubicación y la división de lotes físicos como eventos independientes.</w:t>
      </w:r>
    </w:p>
    <w:p w:rsidR="00000000" w:rsidDel="00000000" w:rsidP="00000000" w:rsidRDefault="00000000" w:rsidRPr="00000000" w14:paraId="00000072">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57jwz0obwpe5" w:id="14"/>
      <w:bookmarkEnd w:id="14"/>
      <w:r w:rsidDel="00000000" w:rsidR="00000000" w:rsidRPr="00000000">
        <w:rPr>
          <w:rFonts w:ascii="Times New Roman" w:cs="Times New Roman" w:eastAsia="Times New Roman" w:hAnsi="Times New Roman"/>
          <w:b w:val="1"/>
          <w:bCs w:val="1"/>
          <w:sz w:val="24"/>
          <w:szCs w:val="24"/>
          <w:rtl w:val="0"/>
        </w:rPr>
        <w:t xml:space="preserve">2.3 Antecedentes regionales y locales</w:t>
      </w:r>
    </w:p>
    <w:p w:rsidR="00000000" w:rsidDel="00000000" w:rsidP="00000000" w:rsidRDefault="00000000" w:rsidRPr="00000000" w14:paraId="00000073">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completar desde el repositorio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Año: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completar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Diseño de una plataforma web de gestión y trazabilidad de donaciones de alimentos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Título académico: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completar</w:t>
      </w:r>
      <w:r w:rsidDel="00000000" w:rsidR="00000000" w:rsidRPr="00000000">
        <w:rPr>
          <w:rFonts w:ascii="Times New Roman" w:cs="Times New Roman" w:eastAsia="Times New Roman" w:hAnsi="Times New Roman"/>
          <w:sz w:val="24"/>
          <w:szCs w:val="24"/>
          <w:rtl w:val="0"/>
        </w:rPr>
        <w:t xml:space="preserve">, Universidad del Norte, Barranquilla (repositorio Manglar, registro 10584/9508).</w:t>
      </w:r>
    </w:p>
    <w:p w:rsidR="00000000" w:rsidDel="00000000" w:rsidP="00000000" w:rsidRDefault="00000000" w:rsidRPr="00000000" w14:paraId="00000074">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Resumir en máximo tres párrafos los objetivos, la metodología y los resultados del trabajo, a partir de su resumen en el repositorio.</w:t>
      </w:r>
      <w:r w:rsidDel="00000000" w:rsidR="00000000" w:rsidRPr="00000000">
        <w:rPr>
          <w:rtl w:val="0"/>
        </w:rPr>
      </w:r>
    </w:p>
    <w:p w:rsidR="00000000" w:rsidDel="00000000" w:rsidP="00000000" w:rsidRDefault="00000000" w:rsidRPr="00000000" w14:paraId="00000075">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Aporte:</w:t>
      </w:r>
      <w:r w:rsidDel="00000000" w:rsidR="00000000" w:rsidRPr="00000000">
        <w:rPr>
          <w:rFonts w:ascii="Times New Roman" w:cs="Times New Roman" w:eastAsia="Times New Roman" w:hAnsi="Times New Roman"/>
          <w:sz w:val="24"/>
          <w:szCs w:val="24"/>
          <w:rtl w:val="0"/>
        </w:rPr>
        <w:t xml:space="preserve"> es el antecedente más cercano en la región Caribe, pues aborda la gestión y la trazabilidad de donaciones mediante una plataforma web; el presente proyecto agrega integridad criptográfica verificable y separación de datos personales.</w:t>
      </w:r>
    </w:p>
    <w:p w:rsidR="00000000" w:rsidDel="00000000" w:rsidP="00000000" w:rsidRDefault="00000000" w:rsidRPr="00000000" w14:paraId="00000076">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c0kpb0i29ska" w:id="15"/>
      <w:bookmarkEnd w:id="15"/>
      <w:r w:rsidDel="00000000" w:rsidR="00000000" w:rsidRPr="00000000">
        <w:rPr>
          <w:rFonts w:ascii="Times New Roman" w:cs="Times New Roman" w:eastAsia="Times New Roman" w:hAnsi="Times New Roman"/>
          <w:b w:val="1"/>
          <w:bCs w:val="1"/>
          <w:sz w:val="24"/>
          <w:szCs w:val="24"/>
          <w:rtl w:val="0"/>
        </w:rPr>
        <w:t xml:space="preserve">2.4 Marco teórico</w:t>
      </w:r>
    </w:p>
    <w:p w:rsidR="00000000" w:rsidDel="00000000" w:rsidP="00000000" w:rsidRDefault="00000000" w:rsidRPr="00000000" w14:paraId="00000077">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Trazabilidad y rendición de cuentas.</w:t>
      </w:r>
      <w:r w:rsidDel="00000000" w:rsidR="00000000" w:rsidRPr="00000000">
        <w:rPr>
          <w:rFonts w:ascii="Times New Roman" w:cs="Times New Roman" w:eastAsia="Times New Roman" w:hAnsi="Times New Roman"/>
          <w:sz w:val="24"/>
          <w:szCs w:val="24"/>
          <w:rtl w:val="0"/>
        </w:rPr>
        <w:t xml:space="preserve"> La trazabilidad es la capacidad de reconstruir el historial, la ubicación y la custodia de un recurso a lo largo de su ciclo de vida. En el sector social se relaciona con la rendición de cuentas, entendida como la obligación de una organización de informar con evidencia sobre el uso de los recursos que recibe (Villar Gómez, 2018). En este proyecto, la trazabilidad abarca dos flujos: el financiero (el dinero de un fondo) y el físico (los activos comprados o donados en especie).</w:t>
      </w:r>
    </w:p>
    <w:p w:rsidR="00000000" w:rsidDel="00000000" w:rsidP="00000000" w:rsidRDefault="00000000" w:rsidRPr="00000000" w14:paraId="00000078">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Diseño guiado por el dominio (DDD).</w:t>
      </w:r>
      <w:r w:rsidDel="00000000" w:rsidR="00000000" w:rsidRPr="00000000">
        <w:rPr>
          <w:rFonts w:ascii="Times New Roman" w:cs="Times New Roman" w:eastAsia="Times New Roman" w:hAnsi="Times New Roman"/>
          <w:sz w:val="24"/>
          <w:szCs w:val="24"/>
          <w:rtl w:val="0"/>
        </w:rPr>
        <w:t xml:space="preserve"> Evans (2003) plantea que el software complejo debe organizarse alrededor de un modelo del dominio construido con el lenguaje de los expertos. Un agregado es un conjunto de objetos tratado como una unidad de consistencia, cuya raíz protege los invariantes de negocio. El motor define dos agregados independientes: Fund, que protege el invariante financiero (el saldo disponible nunca puede ser negativo al asignar), y PhysicalAsset, que protege la máquina de estados logística (registrado, despachado, recibido, entregado). La donación que ve el usuario no es un agregado, sino una vista de lectura.</w:t>
      </w:r>
    </w:p>
    <w:p w:rsidR="00000000" w:rsidDel="00000000" w:rsidP="00000000" w:rsidRDefault="00000000" w:rsidRPr="00000000" w14:paraId="00000079">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 Sourcing.</w:t>
      </w:r>
      <w:r w:rsidDel="00000000" w:rsidR="00000000" w:rsidRPr="00000000">
        <w:rPr>
          <w:rFonts w:ascii="Times New Roman" w:cs="Times New Roman" w:eastAsia="Times New Roman" w:hAnsi="Times New Roman"/>
          <w:sz w:val="24"/>
          <w:szCs w:val="24"/>
          <w:rtl w:val="0"/>
        </w:rPr>
        <w:t xml:space="preserve"> Fowler (2005) describe Event Sourcing como el patrón que garantiza que todo cambio de estado de una aplicación se almacene como una secuencia de eventos, a partir de la cual puede reconstruirse el estado en cualquier momento. A diferencia de un modelo CRUD, nada se actualiza ni se elimina: el estado actual es el resultado de reproducir los eventos ordenados por un número de secuencia dentro de cada flujo (stream). Esta propiedad convierte al registro de eventos (Event Store) en la única fuente de verdad del sistema.</w:t>
      </w:r>
    </w:p>
    <w:p w:rsidR="00000000" w:rsidDel="00000000" w:rsidP="00000000" w:rsidRDefault="00000000" w:rsidRPr="00000000" w14:paraId="0000007A">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CQRS y proyecciones.</w:t>
      </w:r>
      <w:r w:rsidDel="00000000" w:rsidR="00000000" w:rsidRPr="00000000">
        <w:rPr>
          <w:rFonts w:ascii="Times New Roman" w:cs="Times New Roman" w:eastAsia="Times New Roman" w:hAnsi="Times New Roman"/>
          <w:sz w:val="24"/>
          <w:szCs w:val="24"/>
          <w:rtl w:val="0"/>
        </w:rPr>
        <w:t xml:space="preserve"> La segregación de responsabilidades entre comandos y consultas (CQRS) separa el modelo que escribe del modelo que se lee (Young, 2010). En el motor, los eventos alimentan proyecciones desnormalizadas —por ejemplo, la vista de una donación o los hechos de auditoría— que pueden reconstruirse desde el Event Store si se pierden, y que admiten consistencia eventual.</w:t>
      </w:r>
    </w:p>
    <w:p w:rsidR="00000000" w:rsidDel="00000000" w:rsidP="00000000" w:rsidRDefault="00000000" w:rsidRPr="00000000" w14:paraId="0000007B">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hexagonal y monolito modular.</w:t>
      </w:r>
      <w:r w:rsidDel="00000000" w:rsidR="00000000" w:rsidRPr="00000000">
        <w:rPr>
          <w:rFonts w:ascii="Times New Roman" w:cs="Times New Roman" w:eastAsia="Times New Roman" w:hAnsi="Times New Roman"/>
          <w:sz w:val="24"/>
          <w:szCs w:val="24"/>
          <w:rtl w:val="0"/>
        </w:rPr>
        <w:t xml:space="preserve"> La arquitectura de puertos y adaptadores propuesta por Cockburn (2005) aísla la lógica de negocio de la infraestructura: el dominio define interfaces (puertos) y las tecnologías concretas, como MongoDB o Web3j, las implementan (adaptadores). El motor aplica este principio dentro de un monolito modular, es decir, una sola unidad de despliegue con fronteras internas estrictas entre módulos, verificadas automáticamente con pruebas de arquitectura.</w:t>
      </w:r>
    </w:p>
    <w:p w:rsidR="00000000" w:rsidDel="00000000" w:rsidP="00000000" w:rsidRDefault="00000000" w:rsidRPr="00000000" w14:paraId="0000007C">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Concurrencia optimista e idempotencia.</w:t>
      </w:r>
      <w:r w:rsidDel="00000000" w:rsidR="00000000" w:rsidRPr="00000000">
        <w:rPr>
          <w:rFonts w:ascii="Times New Roman" w:cs="Times New Roman" w:eastAsia="Times New Roman" w:hAnsi="Times New Roman"/>
          <w:sz w:val="24"/>
          <w:szCs w:val="24"/>
          <w:rtl w:val="0"/>
        </w:rPr>
        <w:t xml:space="preserve"> En la concurrencia optimista, una escritura solo se acepta si la versión del agregado no cambió desde que se leyó; si otro proceso escribió primero, la operación se rechaza y el comando se reevalúa contra el nuevo estado. La idempotencia garantiza que procesar dos veces el mismo mensaje —por ejemplo, un reintento de red o un webhook duplicado— no produzca efectos duplicados; para ello el sistema distingue identificadores de comando, de hecho externo, de operación de negocio y de evento.</w:t>
      </w:r>
    </w:p>
    <w:p w:rsidR="00000000" w:rsidDel="00000000" w:rsidP="00000000" w:rsidRDefault="00000000" w:rsidRPr="00000000" w14:paraId="0000007D">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Sagas y outbox transaccional.</w:t>
      </w:r>
      <w:r w:rsidDel="00000000" w:rsidR="00000000" w:rsidRPr="00000000">
        <w:rPr>
          <w:rFonts w:ascii="Times New Roman" w:cs="Times New Roman" w:eastAsia="Times New Roman" w:hAnsi="Times New Roman"/>
          <w:sz w:val="24"/>
          <w:szCs w:val="24"/>
          <w:rtl w:val="0"/>
        </w:rPr>
        <w:t xml:space="preserve"> Una saga es una transacción de larga duración compuesta por pasos que tienen acciones de compensación en caso de fallo (Garcia-Molina y Salem, 1987). Richardson (2018) describe el patrón outbox transaccional, en el que el evento de dominio y el mensaje que debe enviarse a otro componente se guardan en la misma transacción local. El motor usa ambos patrones para coordinar operaciones que cruzan agregados, como la asignación de dinero de un fondo a un activo físico, sin recurrir a transacciones distribuidas.</w:t>
      </w:r>
    </w:p>
    <w:p w:rsidR="00000000" w:rsidDel="00000000" w:rsidP="00000000" w:rsidRDefault="00000000" w:rsidRPr="00000000" w14:paraId="0000007E">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Funciones hash y canonicalización.</w:t>
      </w:r>
      <w:r w:rsidDel="00000000" w:rsidR="00000000" w:rsidRPr="00000000">
        <w:rPr>
          <w:rFonts w:ascii="Times New Roman" w:cs="Times New Roman" w:eastAsia="Times New Roman" w:hAnsi="Times New Roman"/>
          <w:sz w:val="24"/>
          <w:szCs w:val="24"/>
          <w:rtl w:val="0"/>
        </w:rPr>
        <w:t xml:space="preserve"> Una función hash criptográfica como SHA-256 transforma un mensaje de cualquier tamaño en un resumen de 256 bits, de forma que es computacionalmente inviable encontrar dos mensajes con el mismo resumen (NIST, 2015). Para que el hash de un evento sea reproducible, su representación JSON debe ser única; el esquema de canonicalización JCS (RFC 8785) define esa forma determinista (Rundgren et al., 2020). Cada evento incluye el hash del evento anterior, lo que forma una cadena en la que cualquier modificación rompe los enlaces siguientes.</w:t>
      </w:r>
    </w:p>
    <w:p w:rsidR="00000000" w:rsidDel="00000000" w:rsidP="00000000" w:rsidRDefault="00000000" w:rsidRPr="00000000" w14:paraId="0000007F">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Árboles de Merkle y anclaje en blockchain.</w:t>
      </w:r>
      <w:r w:rsidDel="00000000" w:rsidR="00000000" w:rsidRPr="00000000">
        <w:rPr>
          <w:rFonts w:ascii="Times New Roman" w:cs="Times New Roman" w:eastAsia="Times New Roman" w:hAnsi="Times New Roman"/>
          <w:sz w:val="24"/>
          <w:szCs w:val="24"/>
          <w:rtl w:val="0"/>
        </w:rPr>
        <w:t xml:space="preserve"> Merkle (1988) propuso un árbol binario en el que cada nodo contiene el hash de sus hijos, de modo que una sola raíz resume e identifica un conjunto completo de datos. Nakamoto (2008) mostró cómo una red distribuida puede mantener un registro público difícil de alterar. El motor agrupa periódicamente los hashes de los eventos en un árbol de Merkle y registra únicamente su raíz en un contrato inteligente de una red de prueba; así, la blockchain funciona como notario de integridad y no como base de datos, y nunca contiene datos personales.</w:t>
      </w:r>
    </w:p>
    <w:p w:rsidR="00000000" w:rsidDel="00000000" w:rsidP="00000000" w:rsidRDefault="00000000" w:rsidRPr="00000000" w14:paraId="00000080">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Privacidad desde el diseño.</w:t>
      </w:r>
      <w:r w:rsidDel="00000000" w:rsidR="00000000" w:rsidRPr="00000000">
        <w:rPr>
          <w:rFonts w:ascii="Times New Roman" w:cs="Times New Roman" w:eastAsia="Times New Roman" w:hAnsi="Times New Roman"/>
          <w:sz w:val="24"/>
          <w:szCs w:val="24"/>
          <w:rtl w:val="0"/>
        </w:rPr>
        <w:t xml:space="preserve"> El Reglamento (UE) 2016/679, en su artículo 25, exige incorporar la protección de datos desde el diseño y por defecto. En el motor, los datos personales se reemplazan por referencias opacas, y las referencias públicas, como el código de seguimiento del donante, se derivan mediante HMAC-SHA-256, un código de autenticación de mensajes con clave secreta que no puede invertirse ni falsificarse sin conocer dicha clave.</w:t>
      </w:r>
    </w:p>
    <w:p w:rsidR="00000000" w:rsidDel="00000000" w:rsidP="00000000" w:rsidRDefault="00000000" w:rsidRPr="00000000" w14:paraId="00000081">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Inteligencia artificial generativa fundamentada.</w:t>
      </w:r>
      <w:r w:rsidDel="00000000" w:rsidR="00000000" w:rsidRPr="00000000">
        <w:rPr>
          <w:rFonts w:ascii="Times New Roman" w:cs="Times New Roman" w:eastAsia="Times New Roman" w:hAnsi="Times New Roman"/>
          <w:sz w:val="24"/>
          <w:szCs w:val="24"/>
          <w:rtl w:val="0"/>
        </w:rPr>
        <w:t xml:space="preserve"> Los modelos de lenguaje pueden producir afirmaciones plausibles pero falsas, fenómeno conocido como alucinación (Ji et al., 2023). Por ello, el módulo de IA del motor solo recibe hechos de auditoría deterministas calculados a partir del Event Store y valida que cada afirmación del resumen se fundamente en ellos; si el proveedor del modelo falla, se usa una plantilla determinista de respaldo.</w:t>
      </w:r>
    </w:p>
    <w:p w:rsidR="00000000" w:rsidDel="00000000" w:rsidP="00000000" w:rsidRDefault="00000000" w:rsidRPr="00000000" w14:paraId="00000082">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m9u23ykl64tt" w:id="16"/>
      <w:bookmarkEnd w:id="16"/>
      <w:r w:rsidDel="00000000" w:rsidR="00000000" w:rsidRPr="00000000">
        <w:rPr>
          <w:rFonts w:ascii="Times New Roman" w:cs="Times New Roman" w:eastAsia="Times New Roman" w:hAnsi="Times New Roman"/>
          <w:b w:val="1"/>
          <w:bCs w:val="1"/>
          <w:sz w:val="24"/>
          <w:szCs w:val="24"/>
          <w:rtl w:val="0"/>
        </w:rPr>
        <w:t xml:space="preserve">2.5 Marco contextual</w:t>
      </w:r>
    </w:p>
    <w:p w:rsidR="00000000" w:rsidDel="00000000" w:rsidP="00000000" w:rsidRDefault="00000000" w:rsidRPr="00000000" w14:paraId="00000083">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desarrolla en la Fundación Universitaria Tecnológico Comfenalco, sede Cartagena de Indias, como proyecto de aula integrador del octavo semestre del programa de Ingeniería de Sistemas de la Facultad de Ingeniería, articulado con las asignaturas Minería de Datos II, Computación en la Nube, Computación Móvil e Ingeniería Económica. El equipo trabaja de forma colaborativa sobre un repositorio Git compartido, con una estrategia de ramas (main, develop, feat/, fix/ y chore/), revisión humana obligatoria de cada cambio y apoyo de asistentes de inteligencia artificial bajo reglas explícitas de verificación.</w:t>
      </w:r>
    </w:p>
    <w:p w:rsidR="00000000" w:rsidDel="00000000" w:rsidP="00000000" w:rsidRDefault="00000000" w:rsidRPr="00000000" w14:paraId="00000084">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contexto de aplicación es el sector social colombiano. En 2024, las 80 fundaciones asociadas a la AFE invirtieron US$279,4 millones en cerca de 800 iniciativas nacionales, y el 52 % de las donaciones de los colombianos se dirige a organizaciones locales (CAF, 2025). El caso demostrativo del proyecto corresponde a una fundación que abre una convocatoria, recibe donaciones digitales, las convierte en kits o insumos y los traslada entre nodos logísticos —por ejemplo, entre bodegas de Cartagena y Barranquilla— hasta entregarlos a los beneficiarios, mientras los donantes consultan el recorrido de su aporte.</w:t>
      </w:r>
    </w:p>
    <w:p w:rsidR="00000000" w:rsidDel="00000000" w:rsidP="00000000" w:rsidRDefault="00000000" w:rsidRPr="00000000" w14:paraId="00000085">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xitonzbhonbb" w:id="17"/>
      <w:bookmarkEnd w:id="17"/>
      <w:r w:rsidDel="00000000" w:rsidR="00000000" w:rsidRPr="00000000">
        <w:rPr>
          <w:rFonts w:ascii="Times New Roman" w:cs="Times New Roman" w:eastAsia="Times New Roman" w:hAnsi="Times New Roman"/>
          <w:b w:val="1"/>
          <w:bCs w:val="1"/>
          <w:sz w:val="24"/>
          <w:szCs w:val="24"/>
          <w:rtl w:val="0"/>
        </w:rPr>
        <w:t xml:space="preserve">2.6 Marco legal</w:t>
      </w:r>
    </w:p>
    <w:p w:rsidR="00000000" w:rsidDel="00000000" w:rsidP="00000000" w:rsidRDefault="00000000" w:rsidRPr="00000000" w14:paraId="00000086">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internacional, la Declaración Universal de los Derechos Humanos (Organización de las Naciones Unidas [ONU], 1948) reconoce en su artículo 12 el derecho a no ser objeto de injerencias arbitrarias en la vida privada, fundamento de la decisión de excluir los datos personales de cualquier registro público o anclado. La Agenda 2030 (ONU, 2015), en las metas 16.6 y 16.10 del Objetivo de Desarrollo Sostenible 16, promueve instituciones eficaces y transparentes que rindan cuentas y el acceso público a la información, propósito al que contribuye el motor. Como referente técnico, el Reglamento (UE) 2016/679 introduce en su artículo 25 la protección de datos desde el diseño y por defecto, principio adoptado en la arquitectura.</w:t>
      </w:r>
    </w:p>
    <w:p w:rsidR="00000000" w:rsidDel="00000000" w:rsidP="00000000" w:rsidRDefault="00000000" w:rsidRPr="00000000" w14:paraId="00000087">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Constitución Política de Colombia (1991) consagra en el artículo 15 el derecho a la intimidad y al habeas data, es decir, a conocer, actualizar y rectificar la información personal recogida en bases de datos; en el artículo 20, el derecho a recibir información veraz; y en el artículo 38, la libertad de asociación sobre la que se constituyen las fundaciones y demás entidades sin ánimo de lucro.</w:t>
      </w:r>
    </w:p>
    <w:p w:rsidR="00000000" w:rsidDel="00000000" w:rsidP="00000000" w:rsidRDefault="00000000" w:rsidRPr="00000000" w14:paraId="00000088">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plano legal, la Ley 527 de 1999 reconoce validez jurídica y fuerza probatoria a los mensajes de datos y exige que su información se conserve íntegra, lo que se relaciona con el registro electrónico inmutable de los eventos. La Ley 1273 de 2009 protege la información y los datos frente a delitos informáticos, como el acceso abusivo y la alteración de datos. La Ley Estatutaria 1581 de 2012 establece el régimen general de protección de datos personales y sus principios de finalidad, seguridad, confidencialidad y circulación restringida, que determinan que donantes y beneficiarios se representen en el sistema mediante referencias opacas. La Ley 1819 de 2016 reformó el régimen tributario especial de las entidades sin ánimo de lucro y, mediante el artículo 364-5 del Estatuto Tributario, les exige publicar información sobre su gestión y las donaciones recibidas; y la Ley 2195 de 2022 adopta medidas de transparencia y prevención de la corrupción.</w:t>
      </w:r>
    </w:p>
    <w:p w:rsidR="00000000" w:rsidDel="00000000" w:rsidP="00000000" w:rsidRDefault="00000000" w:rsidRPr="00000000" w14:paraId="00000089">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reglamentario, el Decreto 1377 de 2013, hoy compilado en el Decreto 1074 de 2015, reglamenta la Ley 1581 en materia de autorización, políticas de tratamiento y transferencia de datos; y el Decreto 2150 de 2017 reglamenta el régimen tributario especial de las entidades sin ánimo de lucro, incluido el registro web de su información. Finalmente, la Superintendencia de Industria y Comercio, mediante la Circular Externa 002 de 2015, impartió instrucciones para la inscripción de las bases de datos en el Registro Nacional de Bases de Datos. No se identificaron ordenanzas departamentales ni acuerdos municipales de Cartagena que regulen específicamente la trazabilidad de donaciones.</w:t>
      </w:r>
    </w:p>
    <w:p w:rsidR="00000000" w:rsidDel="00000000" w:rsidP="00000000" w:rsidRDefault="00000000" w:rsidRPr="00000000" w14:paraId="0000008A">
      <w:pPr>
        <w:keepNext w:val="1"/>
        <w:keepLines w:val="1"/>
        <w:pageBreakBefore w:val="1"/>
        <w:spacing w:after="80" w:before="360" w:line="480" w:lineRule="auto"/>
        <w:ind w:firstLine="284"/>
        <w:jc w:val="center"/>
        <w:rPr>
          <w:rFonts w:ascii="Times New Roman" w:cs="Times New Roman" w:eastAsia="Times New Roman" w:hAnsi="Times New Roman"/>
          <w:b w:val="1"/>
          <w:bCs w:val="1"/>
          <w:sz w:val="24"/>
          <w:szCs w:val="24"/>
        </w:rPr>
      </w:pPr>
      <w:bookmarkStart w:colFirst="0" w:colLast="0" w:name="_heading=h.52j0fd1p72i" w:id="18"/>
      <w:bookmarkEnd w:id="18"/>
      <w:r w:rsidDel="00000000" w:rsidR="00000000" w:rsidRPr="00000000">
        <w:rPr>
          <w:rFonts w:ascii="Times New Roman" w:cs="Times New Roman" w:eastAsia="Times New Roman" w:hAnsi="Times New Roman"/>
          <w:b w:val="1"/>
          <w:bCs w:val="1"/>
          <w:sz w:val="24"/>
          <w:szCs w:val="24"/>
          <w:rtl w:val="0"/>
        </w:rPr>
        <w:t xml:space="preserve">Capítulo III</w:t>
      </w:r>
    </w:p>
    <w:p w:rsidR="00000000" w:rsidDel="00000000" w:rsidP="00000000" w:rsidRDefault="00000000" w:rsidRPr="00000000" w14:paraId="0000008B">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z24frntnzj0o" w:id="19"/>
      <w:bookmarkEnd w:id="19"/>
      <w:r w:rsidDel="00000000" w:rsidR="00000000" w:rsidRPr="00000000">
        <w:rPr>
          <w:rFonts w:ascii="Times New Roman" w:cs="Times New Roman" w:eastAsia="Times New Roman" w:hAnsi="Times New Roman"/>
          <w:b w:val="1"/>
          <w:bCs w:val="1"/>
          <w:sz w:val="24"/>
          <w:szCs w:val="24"/>
          <w:rtl w:val="0"/>
        </w:rPr>
        <w:t xml:space="preserve">3. Metodología</w:t>
      </w:r>
    </w:p>
    <w:p w:rsidR="00000000" w:rsidDel="00000000" w:rsidP="00000000" w:rsidRDefault="00000000" w:rsidRPr="00000000" w14:paraId="0000008C">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lsktno15hg3o" w:id="20"/>
      <w:bookmarkEnd w:id="20"/>
      <w:r w:rsidDel="00000000" w:rsidR="00000000" w:rsidRPr="00000000">
        <w:rPr>
          <w:rFonts w:ascii="Times New Roman" w:cs="Times New Roman" w:eastAsia="Times New Roman" w:hAnsi="Times New Roman"/>
          <w:b w:val="1"/>
          <w:bCs w:val="1"/>
          <w:sz w:val="24"/>
          <w:szCs w:val="24"/>
          <w:rtl w:val="0"/>
        </w:rPr>
        <w:t xml:space="preserve">3.1 Tipo de investigación</w:t>
      </w:r>
    </w:p>
    <w:p w:rsidR="00000000" w:rsidDel="00000000" w:rsidP="00000000" w:rsidRDefault="00000000" w:rsidRPr="00000000" w14:paraId="0000008D">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Fonts w:ascii="Times New Roman" w:cs="Times New Roman" w:eastAsia="Times New Roman" w:hAnsi="Times New Roman"/>
          <w:sz w:val="24"/>
          <w:szCs w:val="24"/>
          <w:rtl w:val="0"/>
        </w:rPr>
        <w:t xml:space="preserve"> La investigación se enmarca en el paradigma positivista, pues busca comprobar de manera objetiva y medible que el sistema cumple los requisitos planteados, mediante pruebas reproducibles cuyos resultados no dependen de la interpretación del investigador (Hernández Sampieri et al., 2014).</w:t>
      </w:r>
    </w:p>
    <w:p w:rsidR="00000000" w:rsidDel="00000000" w:rsidP="00000000" w:rsidRDefault="00000000" w:rsidRPr="00000000" w14:paraId="0000008E">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Enfoque.</w:t>
      </w:r>
      <w:r w:rsidDel="00000000" w:rsidR="00000000" w:rsidRPr="00000000">
        <w:rPr>
          <w:rFonts w:ascii="Times New Roman" w:cs="Times New Roman" w:eastAsia="Times New Roman" w:hAnsi="Times New Roman"/>
          <w:sz w:val="24"/>
          <w:szCs w:val="24"/>
          <w:rtl w:val="0"/>
        </w:rPr>
        <w:t xml:space="preserve"> El enfoque es mixto con predominio cuantitativo. El componente cualitativo corresponde al análisis documental del dominio, de la normativa y de los antecedentes, y a la toma de decisiones arquitectónicas registradas en ADR. El componente cuantitativo corresponde a la medición del comportamiento del software mediante pruebas automatizadas, cuyos resultados se expresan en número de pruebas ejecutadas, fallidas y con error.</w:t>
      </w:r>
    </w:p>
    <w:p w:rsidR="00000000" w:rsidDel="00000000" w:rsidP="00000000" w:rsidRDefault="00000000" w:rsidRPr="00000000" w14:paraId="0000008F">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Modalidad.</w:t>
      </w:r>
      <w:r w:rsidDel="00000000" w:rsidR="00000000" w:rsidRPr="00000000">
        <w:rPr>
          <w:rFonts w:ascii="Times New Roman" w:cs="Times New Roman" w:eastAsia="Times New Roman" w:hAnsi="Times New Roman"/>
          <w:sz w:val="24"/>
          <w:szCs w:val="24"/>
          <w:rtl w:val="0"/>
        </w:rPr>
        <w:t xml:space="preserve"> Desde el enfoque cualitativo, se trata de un estudio de caso: el ciclo de vida de las donaciones de una fundación demostrativa que recibe aportes digitales y los convierte en ayuda en especie. Desde el enfoque cuantitativo, la modalidad es descriptiva, pues se describe y mide el comportamiento del motor frente a escenarios definidos, incluidos escenarios de concurrencia y de fallo, sin manipular variables en grupos de control.</w:t>
      </w:r>
    </w:p>
    <w:p w:rsidR="00000000" w:rsidDel="00000000" w:rsidP="00000000" w:rsidRDefault="00000000" w:rsidRPr="00000000" w14:paraId="00000090">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se siguió un ciclo de vida iterativo e incremental organizado en fases. Cada fase inicia con una etapa de diseño arquitectónico, en la que las decisiones significativas se documentan en un ADR con la estructura contexto, decisión, alternativas, consecuencias y estado, y finaliza solo cuando existe evidencia de ejecución real de las pruebas que definen su terminación.</w:t>
      </w:r>
    </w:p>
    <w:p w:rsidR="00000000" w:rsidDel="00000000" w:rsidP="00000000" w:rsidRDefault="00000000" w:rsidRPr="00000000" w14:paraId="00000091">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3ukqzrz9j8wv" w:id="21"/>
      <w:bookmarkEnd w:id="21"/>
      <w:r w:rsidDel="00000000" w:rsidR="00000000" w:rsidRPr="00000000">
        <w:rPr>
          <w:rFonts w:ascii="Times New Roman" w:cs="Times New Roman" w:eastAsia="Times New Roman" w:hAnsi="Times New Roman"/>
          <w:b w:val="1"/>
          <w:bCs w:val="1"/>
          <w:sz w:val="24"/>
          <w:szCs w:val="24"/>
          <w:rtl w:val="0"/>
        </w:rPr>
        <w:t xml:space="preserve">3.2 Diseño metodológico</w:t>
      </w:r>
    </w:p>
    <w:p w:rsidR="00000000" w:rsidDel="00000000" w:rsidP="00000000" w:rsidRDefault="00000000" w:rsidRPr="00000000" w14:paraId="00000092">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 relaciona cada objetivo específico con las actividades realizadas y los resultados obtenidos o esperados.</w:t>
      </w:r>
    </w:p>
    <w:p w:rsidR="00000000" w:rsidDel="00000000" w:rsidP="00000000" w:rsidRDefault="00000000" w:rsidRPr="00000000" w14:paraId="00000093">
      <w:pPr>
        <w:keepNext w:val="1"/>
        <w:spacing w:after="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w:t>
      </w:r>
      <w:r w:rsidDel="00000000" w:rsidR="00000000" w:rsidRPr="00000000">
        <w:rPr>
          <w:rtl w:val="0"/>
        </w:rPr>
      </w:r>
    </w:p>
    <w:p w:rsidR="00000000" w:rsidDel="00000000" w:rsidP="00000000" w:rsidRDefault="00000000" w:rsidRPr="00000000" w14:paraId="00000094">
      <w:pPr>
        <w:keepNext w:val="1"/>
        <w:spacing w:after="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Diseño metodológico por objetivo específico</w:t>
      </w:r>
      <w:r w:rsidDel="00000000" w:rsidR="00000000" w:rsidRPr="00000000">
        <w:rPr>
          <w:rtl w:val="0"/>
        </w:rPr>
      </w:r>
    </w:p>
    <w:tbl>
      <w:tblPr>
        <w:tblStyle w:val="Table1"/>
        <w:tblW w:w="935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2689"/>
        <w:gridCol w:w="3330"/>
        <w:gridCol w:w="3332"/>
        <w:tblGridChange w:id="0">
          <w:tblGrid>
            <w:gridCol w:w="2689"/>
            <w:gridCol w:w="3330"/>
            <w:gridCol w:w="3332"/>
          </w:tblGrid>
        </w:tblGridChange>
      </w:tblGrid>
      <w:tr>
        <w:trPr>
          <w:cantSplit w:val="0"/>
          <w:tblHeader w:val="0"/>
        </w:trPr>
        <w:tc>
          <w:tcPr/>
          <w:p w:rsidR="00000000" w:rsidDel="00000000" w:rsidP="00000000" w:rsidRDefault="00000000" w:rsidRPr="00000000" w14:paraId="00000095">
            <w:pPr>
              <w:spacing w:after="40" w:line="240"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Objetivo Específico</w:t>
            </w:r>
          </w:p>
        </w:tc>
        <w:tc>
          <w:tcPr/>
          <w:p w:rsidR="00000000" w:rsidDel="00000000" w:rsidP="00000000" w:rsidRDefault="00000000" w:rsidRPr="00000000" w14:paraId="00000096">
            <w:pPr>
              <w:spacing w:after="40" w:line="240"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Actividades</w:t>
            </w:r>
          </w:p>
        </w:tc>
        <w:tc>
          <w:tcPr/>
          <w:p w:rsidR="00000000" w:rsidDel="00000000" w:rsidP="00000000" w:rsidRDefault="00000000" w:rsidRPr="00000000" w14:paraId="00000097">
            <w:pPr>
              <w:spacing w:after="40" w:line="240"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Resultados</w:t>
            </w:r>
          </w:p>
        </w:tc>
      </w:tr>
      <w:tr>
        <w:trPr>
          <w:cantSplit w:val="0"/>
          <w:tblHeader w:val="0"/>
        </w:trPr>
        <w:tc>
          <w:tcPr/>
          <w:p w:rsidR="00000000" w:rsidDel="00000000" w:rsidP="00000000" w:rsidRDefault="00000000" w:rsidRPr="00000000" w14:paraId="00000098">
            <w:pPr>
              <w:spacing w:after="40" w:line="240" w:lineRule="auto"/>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Objetivo específico 1:</w:t>
            </w:r>
            <w:r w:rsidDel="00000000" w:rsidR="00000000" w:rsidRPr="00000000">
              <w:rPr>
                <w:rFonts w:ascii="Times New Roman" w:cs="Times New Roman" w:eastAsia="Times New Roman" w:hAnsi="Times New Roman"/>
                <w:sz w:val="22"/>
                <w:szCs w:val="22"/>
                <w:rtl w:val="0"/>
              </w:rPr>
              <w:t xml:space="preserve"> Analizar el ciclo de vida de las donaciones y la normativa aplicable</w:t>
            </w:r>
            <w:r w:rsidDel="00000000" w:rsidR="00000000" w:rsidRPr="00000000">
              <w:rPr>
                <w:rtl w:val="0"/>
              </w:rPr>
            </w:r>
          </w:p>
        </w:tc>
        <w:tc>
          <w:tcPr/>
          <w:p w:rsidR="00000000" w:rsidDel="00000000" w:rsidP="00000000" w:rsidRDefault="00000000" w:rsidRPr="00000000" w14:paraId="00000099">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Revisión documental de antecedentes, literatura técnica y normativa.</w:t>
            </w:r>
          </w:p>
          <w:p w:rsidR="00000000" w:rsidDel="00000000" w:rsidP="00000000" w:rsidRDefault="00000000" w:rsidRPr="00000000" w14:paraId="0000009A">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Modelado del dominio: actores, flujos financiero y físico, invariantes.</w:t>
            </w:r>
          </w:p>
          <w:p w:rsidR="00000000" w:rsidDel="00000000" w:rsidP="00000000" w:rsidRDefault="00000000" w:rsidRPr="00000000" w14:paraId="0000009B">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Identificación de requisitos de privacidad.</w:t>
            </w:r>
          </w:p>
        </w:tc>
        <w:tc>
          <w:tcPr/>
          <w:p w:rsidR="00000000" w:rsidDel="00000000" w:rsidP="00000000" w:rsidRDefault="00000000" w:rsidRPr="00000000" w14:paraId="0000009C">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Estado del arte y marcos teórico y legal.</w:t>
            </w:r>
          </w:p>
          <w:p w:rsidR="00000000" w:rsidDel="00000000" w:rsidP="00000000" w:rsidRDefault="00000000" w:rsidRPr="00000000" w14:paraId="0000009D">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Definición de los agregados Fund y PhysicalAsset y de sus invariantes.</w:t>
            </w:r>
          </w:p>
          <w:p w:rsidR="00000000" w:rsidDel="00000000" w:rsidP="00000000" w:rsidRDefault="00000000" w:rsidRPr="00000000" w14:paraId="0000009E">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Regla de exclusión de datos personales de la cadena.</w:t>
            </w:r>
          </w:p>
        </w:tc>
      </w:tr>
      <w:tr>
        <w:trPr>
          <w:cantSplit w:val="0"/>
          <w:tblHeader w:val="0"/>
        </w:trPr>
        <w:tc>
          <w:tcPr/>
          <w:p w:rsidR="00000000" w:rsidDel="00000000" w:rsidP="00000000" w:rsidRDefault="00000000" w:rsidRPr="00000000" w14:paraId="0000009F">
            <w:pPr>
              <w:spacing w:after="40" w:line="240" w:lineRule="auto"/>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Objetivo específico 2:</w:t>
            </w:r>
            <w:r w:rsidDel="00000000" w:rsidR="00000000" w:rsidRPr="00000000">
              <w:rPr>
                <w:rFonts w:ascii="Times New Roman" w:cs="Times New Roman" w:eastAsia="Times New Roman" w:hAnsi="Times New Roman"/>
                <w:sz w:val="22"/>
                <w:szCs w:val="22"/>
                <w:rtl w:val="0"/>
              </w:rPr>
              <w:t xml:space="preserve"> Diseñar la arquitectura del motor</w:t>
            </w:r>
            <w:r w:rsidDel="00000000" w:rsidR="00000000" w:rsidRPr="00000000">
              <w:rPr>
                <w:rtl w:val="0"/>
              </w:rPr>
            </w:r>
          </w:p>
        </w:tc>
        <w:tc>
          <w:tcPr/>
          <w:p w:rsidR="00000000" w:rsidDel="00000000" w:rsidP="00000000" w:rsidRDefault="00000000" w:rsidRPr="00000000" w14:paraId="000000A0">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Definición de módulos y dependencias.</w:t>
            </w:r>
          </w:p>
          <w:p w:rsidR="00000000" w:rsidDel="00000000" w:rsidP="00000000" w:rsidRDefault="00000000" w:rsidRPr="00000000" w14:paraId="000000A1">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Diseño del Event Store, la concurrencia optimista, las sagas y las proyecciones.</w:t>
            </w:r>
          </w:p>
          <w:p w:rsidR="00000000" w:rsidDel="00000000" w:rsidP="00000000" w:rsidRDefault="00000000" w:rsidRPr="00000000" w14:paraId="000000A2">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Revisión crítica de cada decisión.</w:t>
            </w:r>
          </w:p>
        </w:tc>
        <w:tc>
          <w:tcPr/>
          <w:p w:rsidR="00000000" w:rsidDel="00000000" w:rsidP="00000000" w:rsidRDefault="00000000" w:rsidRPr="00000000" w14:paraId="000000A3">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Arquitectura de monolito modular con siete módulos Maven.</w:t>
            </w:r>
          </w:p>
          <w:p w:rsidR="00000000" w:rsidDel="00000000" w:rsidP="00000000" w:rsidRDefault="00000000" w:rsidRPr="00000000" w14:paraId="000000A4">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Catálogo de ADR (ADR-001 a ADR-042).</w:t>
            </w:r>
          </w:p>
          <w:p w:rsidR="00000000" w:rsidDel="00000000" w:rsidP="00000000" w:rsidRDefault="00000000" w:rsidRPr="00000000" w14:paraId="000000A5">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Documento maestro del proyecto.</w:t>
            </w:r>
          </w:p>
        </w:tc>
      </w:tr>
      <w:tr>
        <w:trPr>
          <w:cantSplit w:val="0"/>
          <w:tblHeader w:val="0"/>
        </w:trPr>
        <w:tc>
          <w:tcPr/>
          <w:p w:rsidR="00000000" w:rsidDel="00000000" w:rsidP="00000000" w:rsidRDefault="00000000" w:rsidRPr="00000000" w14:paraId="000000A6">
            <w:pPr>
              <w:spacing w:after="40" w:line="240" w:lineRule="auto"/>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Objetivo específico 3:</w:t>
            </w:r>
            <w:r w:rsidDel="00000000" w:rsidR="00000000" w:rsidRPr="00000000">
              <w:rPr>
                <w:rFonts w:ascii="Times New Roman" w:cs="Times New Roman" w:eastAsia="Times New Roman" w:hAnsi="Times New Roman"/>
                <w:sz w:val="22"/>
                <w:szCs w:val="22"/>
                <w:rtl w:val="0"/>
              </w:rPr>
              <w:t xml:space="preserve"> Codificar los módulos del motor</w:t>
            </w:r>
            <w:r w:rsidDel="00000000" w:rsidR="00000000" w:rsidRPr="00000000">
              <w:rPr>
                <w:rtl w:val="0"/>
              </w:rPr>
            </w:r>
          </w:p>
        </w:tc>
        <w:tc>
          <w:tcPr/>
          <w:p w:rsidR="00000000" w:rsidDel="00000000" w:rsidP="00000000" w:rsidRDefault="00000000" w:rsidRPr="00000000" w14:paraId="000000A7">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Implementación por fases (dominio, persistencia, criptografía, IA, blockchain, API pública, identidad, autorización).</w:t>
            </w:r>
          </w:p>
          <w:p w:rsidR="00000000" w:rsidDel="00000000" w:rsidP="00000000" w:rsidRDefault="00000000" w:rsidRPr="00000000" w14:paraId="000000A8">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Trabajo en ramas feat/ con revisión humana.</w:t>
            </w:r>
          </w:p>
        </w:tc>
        <w:tc>
          <w:tcPr/>
          <w:p w:rsidR="00000000" w:rsidDel="00000000" w:rsidP="00000000" w:rsidRDefault="00000000" w:rsidRPr="00000000" w14:paraId="000000A9">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Módulos contracts, core, crypto, ai, api, identity y app implementados.</w:t>
            </w:r>
          </w:p>
          <w:p w:rsidR="00000000" w:rsidDel="00000000" w:rsidP="00000000" w:rsidRDefault="00000000" w:rsidRPr="00000000" w14:paraId="000000AA">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Tres endpoints públicos de consulta.</w:t>
            </w:r>
          </w:p>
          <w:p w:rsidR="00000000" w:rsidDel="00000000" w:rsidP="00000000" w:rsidRDefault="00000000" w:rsidRPr="00000000" w14:paraId="000000AB">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Productor de lotes Merkle (Fase 6).</w:t>
            </w:r>
          </w:p>
        </w:tc>
      </w:tr>
      <w:tr>
        <w:trPr>
          <w:cantSplit w:val="0"/>
          <w:tblHeader w:val="0"/>
        </w:trPr>
        <w:tc>
          <w:tcPr/>
          <w:p w:rsidR="00000000" w:rsidDel="00000000" w:rsidP="00000000" w:rsidRDefault="00000000" w:rsidRPr="00000000" w14:paraId="000000AC">
            <w:pPr>
              <w:spacing w:after="40" w:line="240" w:lineRule="auto"/>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Objetivo específico 4:</w:t>
            </w:r>
            <w:r w:rsidDel="00000000" w:rsidR="00000000" w:rsidRPr="00000000">
              <w:rPr>
                <w:rFonts w:ascii="Times New Roman" w:cs="Times New Roman" w:eastAsia="Times New Roman" w:hAnsi="Times New Roman"/>
                <w:sz w:val="22"/>
                <w:szCs w:val="22"/>
                <w:rtl w:val="0"/>
              </w:rPr>
              <w:t xml:space="preserve"> Verificar el motor</w:t>
            </w:r>
            <w:r w:rsidDel="00000000" w:rsidR="00000000" w:rsidRPr="00000000">
              <w:rPr>
                <w:rtl w:val="0"/>
              </w:rPr>
            </w:r>
          </w:p>
        </w:tc>
        <w:tc>
          <w:tcPr/>
          <w:p w:rsidR="00000000" w:rsidDel="00000000" w:rsidP="00000000" w:rsidRDefault="00000000" w:rsidRPr="00000000" w14:paraId="000000AD">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Pruebas unitarias de invariantes y criptografía.</w:t>
            </w:r>
          </w:p>
          <w:p w:rsidR="00000000" w:rsidDel="00000000" w:rsidP="00000000" w:rsidRDefault="00000000" w:rsidRPr="00000000" w14:paraId="000000AE">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Pruebas de integración con Testcontainers (MongoDB y Ganache).</w:t>
            </w:r>
          </w:p>
          <w:p w:rsidR="00000000" w:rsidDel="00000000" w:rsidP="00000000" w:rsidRDefault="00000000" w:rsidRPr="00000000" w14:paraId="000000AF">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Pruebas de arquitectura con ArchUnit.</w:t>
            </w:r>
          </w:p>
          <w:p w:rsidR="00000000" w:rsidDel="00000000" w:rsidP="00000000" w:rsidRDefault="00000000" w:rsidRPr="00000000" w14:paraId="000000B0">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Revisión de PR con lista de chequeo.</w:t>
            </w:r>
          </w:p>
        </w:tc>
        <w:tc>
          <w:tcPr/>
          <w:p w:rsidR="00000000" w:rsidDel="00000000" w:rsidP="00000000" w:rsidRDefault="00000000" w:rsidRPr="00000000" w14:paraId="000000B1">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Reactor de siete módulos en verde.</w:t>
            </w:r>
          </w:p>
          <w:p w:rsidR="00000000" w:rsidDel="00000000" w:rsidP="00000000" w:rsidRDefault="00000000" w:rsidRPr="00000000" w14:paraId="000000B2">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Reportes Surefire con cero fallos y cero errores en los módulos verificados.</w:t>
            </w:r>
          </w:p>
          <w:p w:rsidR="00000000" w:rsidDel="00000000" w:rsidP="00000000" w:rsidRDefault="00000000" w:rsidRPr="00000000" w14:paraId="000000B3">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Documentos de estado por fase.</w:t>
            </w:r>
          </w:p>
        </w:tc>
      </w:tr>
      <w:tr>
        <w:trPr>
          <w:cantSplit w:val="0"/>
          <w:tblHeader w:val="0"/>
        </w:trPr>
        <w:tc>
          <w:tcPr/>
          <w:p w:rsidR="00000000" w:rsidDel="00000000" w:rsidP="00000000" w:rsidRDefault="00000000" w:rsidRPr="00000000" w14:paraId="000000B4">
            <w:pPr>
              <w:spacing w:after="40" w:line="240" w:lineRule="auto"/>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Objetivo específico 5:</w:t>
            </w:r>
            <w:r w:rsidDel="00000000" w:rsidR="00000000" w:rsidRPr="00000000">
              <w:rPr>
                <w:rFonts w:ascii="Times New Roman" w:cs="Times New Roman" w:eastAsia="Times New Roman" w:hAnsi="Times New Roman"/>
                <w:sz w:val="22"/>
                <w:szCs w:val="22"/>
                <w:rtl w:val="0"/>
              </w:rPr>
              <w:t xml:space="preserve"> Implementar el escenario demostrativo</w:t>
            </w:r>
            <w:r w:rsidDel="00000000" w:rsidR="00000000" w:rsidRPr="00000000">
              <w:rPr>
                <w:rtl w:val="0"/>
              </w:rPr>
            </w:r>
          </w:p>
        </w:tc>
        <w:tc>
          <w:tcPr/>
          <w:p w:rsidR="00000000" w:rsidDel="00000000" w:rsidP="00000000" w:rsidRDefault="00000000" w:rsidRPr="00000000" w14:paraId="000000B5">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Definición del Golden Path de la demostración.</w:t>
            </w:r>
          </w:p>
          <w:p w:rsidR="00000000" w:rsidDel="00000000" w:rsidP="00000000" w:rsidRDefault="00000000" w:rsidRPr="00000000" w14:paraId="000000B6">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Despliegue del contrato en red de prueba y conexión con el proveedor de IA.</w:t>
            </w:r>
          </w:p>
          <w:p w:rsidR="00000000" w:rsidDel="00000000" w:rsidP="00000000" w:rsidRDefault="00000000" w:rsidRPr="00000000" w14:paraId="000000B7">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Construcción de endpoints de escritura y del frontend.</w:t>
            </w:r>
          </w:p>
        </w:tc>
        <w:tc>
          <w:tcPr/>
          <w:p w:rsidR="00000000" w:rsidDel="00000000" w:rsidP="00000000" w:rsidRDefault="00000000" w:rsidRPr="00000000" w14:paraId="000000B8">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Escenario de extremo a extremo definido.</w:t>
            </w:r>
          </w:p>
          <w:p w:rsidR="00000000" w:rsidDel="00000000" w:rsidP="00000000" w:rsidRDefault="00000000" w:rsidRPr="00000000" w14:paraId="000000B9">
            <w:pPr>
              <w:spacing w:after="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Demostración integrada </w:t>
            </w:r>
            <w:r w:rsidDel="00000000" w:rsidR="00000000" w:rsidRPr="00000000">
              <w:rPr>
                <w:rFonts w:ascii="Times New Roman" w:cs="Times New Roman" w:eastAsia="Times New Roman" w:hAnsi="Times New Roman"/>
                <w:sz w:val="22"/>
                <w:szCs w:val="22"/>
                <w:highlight w:val="yellow"/>
                <w:rtl w:val="0"/>
              </w:rPr>
              <w:t xml:space="preserve">en curso; actualizar al cierre</w:t>
            </w: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0BA">
      <w:pPr>
        <w:spacing w:after="0" w:line="48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fcixtif6jv9b" w:id="22"/>
      <w:bookmarkEnd w:id="22"/>
      <w:r w:rsidDel="00000000" w:rsidR="00000000" w:rsidRPr="00000000">
        <w:rPr>
          <w:rFonts w:ascii="Times New Roman" w:cs="Times New Roman" w:eastAsia="Times New Roman" w:hAnsi="Times New Roman"/>
          <w:b w:val="1"/>
          <w:bCs w:val="1"/>
          <w:sz w:val="24"/>
          <w:szCs w:val="24"/>
          <w:rtl w:val="0"/>
        </w:rPr>
        <w:t xml:space="preserve">3.3 Técnicas de recolección de información</w:t>
      </w:r>
    </w:p>
    <w:p w:rsidR="00000000" w:rsidDel="00000000" w:rsidP="00000000" w:rsidRDefault="00000000" w:rsidRPr="00000000" w14:paraId="000000BC">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5rleieonl13c" w:id="23"/>
      <w:bookmarkEnd w:id="23"/>
      <w:r w:rsidDel="00000000" w:rsidR="00000000" w:rsidRPr="00000000">
        <w:rPr>
          <w:rFonts w:ascii="Times New Roman" w:cs="Times New Roman" w:eastAsia="Times New Roman" w:hAnsi="Times New Roman"/>
          <w:b w:val="1"/>
          <w:bCs w:val="1"/>
          <w:sz w:val="24"/>
          <w:szCs w:val="24"/>
          <w:rtl w:val="0"/>
        </w:rPr>
        <w:t xml:space="preserve">3.3.1 Técnicas para la recolección de información</w:t>
      </w:r>
    </w:p>
    <w:p w:rsidR="00000000" w:rsidDel="00000000" w:rsidP="00000000" w:rsidRDefault="00000000" w:rsidRPr="00000000" w14:paraId="000000BD">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Revisión documental.</w:t>
      </w:r>
      <w:r w:rsidDel="00000000" w:rsidR="00000000" w:rsidRPr="00000000">
        <w:rPr>
          <w:rFonts w:ascii="Times New Roman" w:cs="Times New Roman" w:eastAsia="Times New Roman" w:hAnsi="Times New Roman"/>
          <w:sz w:val="24"/>
          <w:szCs w:val="24"/>
          <w:rtl w:val="0"/>
        </w:rPr>
        <w:t xml:space="preserve"> Se consultaron trabajos de grado, artículos, estándares técnicos (RFC 8785, FIPS 180-4) y normas colombianas para construir el estado del arte, el marco teórico y el marco legal, y para identificar los requisitos del dominio.</w:t>
      </w:r>
    </w:p>
    <w:p w:rsidR="00000000" w:rsidDel="00000000" w:rsidP="00000000" w:rsidRDefault="00000000" w:rsidRPr="00000000" w14:paraId="000000BE">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Sesiones de diseño arquitectónico con revisión crítica.</w:t>
      </w:r>
      <w:r w:rsidDel="00000000" w:rsidR="00000000" w:rsidRPr="00000000">
        <w:rPr>
          <w:rFonts w:ascii="Times New Roman" w:cs="Times New Roman" w:eastAsia="Times New Roman" w:hAnsi="Times New Roman"/>
          <w:sz w:val="24"/>
          <w:szCs w:val="24"/>
          <w:rtl w:val="0"/>
        </w:rPr>
        <w:t xml:space="preserve"> Cada decisión significativa se analizó en sesiones de diseño que evalúan responsabilidad, límites, dependencias, invariantes, contratos, errores, concurrencia, persistencia, pruebas y riesgos, antes de aprobarse.</w:t>
      </w:r>
    </w:p>
    <w:p w:rsidR="00000000" w:rsidDel="00000000" w:rsidP="00000000" w:rsidRDefault="00000000" w:rsidRPr="00000000" w14:paraId="000000BF">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 estructurada mediante pruebas automatizadas.</w:t>
      </w:r>
      <w:r w:rsidDel="00000000" w:rsidR="00000000" w:rsidRPr="00000000">
        <w:rPr>
          <w:rFonts w:ascii="Times New Roman" w:cs="Times New Roman" w:eastAsia="Times New Roman" w:hAnsi="Times New Roman"/>
          <w:sz w:val="24"/>
          <w:szCs w:val="24"/>
          <w:rtl w:val="0"/>
        </w:rPr>
        <w:t xml:space="preserve"> El comportamiento del software se observó a través de la ejecución de pruebas unitarias, de integración contra contenedores reales de MongoDB y Ganache, y de arquitectura, incluidos escenarios de concurrencia y de fallo.</w:t>
      </w:r>
    </w:p>
    <w:p w:rsidR="00000000" w:rsidDel="00000000" w:rsidP="00000000" w:rsidRDefault="00000000" w:rsidRPr="00000000" w14:paraId="000000C0">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Revisión de código por pares.</w:t>
      </w:r>
      <w:r w:rsidDel="00000000" w:rsidR="00000000" w:rsidRPr="00000000">
        <w:rPr>
          <w:rFonts w:ascii="Times New Roman" w:cs="Times New Roman" w:eastAsia="Times New Roman" w:hAnsi="Times New Roman"/>
          <w:sz w:val="24"/>
          <w:szCs w:val="24"/>
          <w:rtl w:val="0"/>
        </w:rPr>
        <w:t xml:space="preserve"> Cada cambio se revisó antes de integrarse a la rama develop, contrastando el código contra el ADR que lo respalda.</w:t>
      </w:r>
    </w:p>
    <w:p w:rsidR="00000000" w:rsidDel="00000000" w:rsidP="00000000" w:rsidRDefault="00000000" w:rsidRPr="00000000" w14:paraId="000000C1">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op954agm31eg" w:id="24"/>
      <w:bookmarkEnd w:id="24"/>
      <w:r w:rsidDel="00000000" w:rsidR="00000000" w:rsidRPr="00000000">
        <w:rPr>
          <w:rFonts w:ascii="Times New Roman" w:cs="Times New Roman" w:eastAsia="Times New Roman" w:hAnsi="Times New Roman"/>
          <w:b w:val="1"/>
          <w:bCs w:val="1"/>
          <w:sz w:val="24"/>
          <w:szCs w:val="24"/>
          <w:rtl w:val="0"/>
        </w:rPr>
        <w:t xml:space="preserve">3.3.2 Instrumentos para la recolección de la información</w:t>
      </w:r>
    </w:p>
    <w:p w:rsidR="00000000" w:rsidDel="00000000" w:rsidP="00000000" w:rsidRDefault="00000000" w:rsidRPr="00000000" w14:paraId="000000C2">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Plantilla de ADR</w:t>
      </w:r>
      <w:r w:rsidDel="00000000" w:rsidR="00000000" w:rsidRPr="00000000">
        <w:rPr>
          <w:rFonts w:ascii="Times New Roman" w:cs="Times New Roman" w:eastAsia="Times New Roman" w:hAnsi="Times New Roman"/>
          <w:sz w:val="24"/>
          <w:szCs w:val="24"/>
          <w:rtl w:val="0"/>
        </w:rPr>
        <w:t xml:space="preserve"> (contexto, decisión, alternativas, consecuencias y estado), aplicada por el equipo para registrar y aprobar las decisiones arquitectónicas.</w:t>
      </w:r>
    </w:p>
    <w:p w:rsidR="00000000" w:rsidDel="00000000" w:rsidP="00000000" w:rsidRDefault="00000000" w:rsidRPr="00000000" w14:paraId="000000C3">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Suites de pruebas JUnit 5, Testcontainers y ArchUnit</w:t>
      </w:r>
      <w:r w:rsidDel="00000000" w:rsidR="00000000" w:rsidRPr="00000000">
        <w:rPr>
          <w:rFonts w:ascii="Times New Roman" w:cs="Times New Roman" w:eastAsia="Times New Roman" w:hAnsi="Times New Roman"/>
          <w:sz w:val="24"/>
          <w:szCs w:val="24"/>
          <w:rtl w:val="0"/>
        </w:rPr>
        <w:t xml:space="preserve">, cuyos reportes de Surefire (pruebas ejecutadas, fallos y errores) constituyen el registro cuantitativo del cumplimiento.</w:t>
      </w:r>
    </w:p>
    <w:p w:rsidR="00000000" w:rsidDel="00000000" w:rsidP="00000000" w:rsidRDefault="00000000" w:rsidRPr="00000000" w14:paraId="000000C4">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Lista de chequeo de revisión de PR</w:t>
      </w:r>
      <w:r w:rsidDel="00000000" w:rsidR="00000000" w:rsidRPr="00000000">
        <w:rPr>
          <w:rFonts w:ascii="Times New Roman" w:cs="Times New Roman" w:eastAsia="Times New Roman" w:hAnsi="Times New Roman"/>
          <w:sz w:val="24"/>
          <w:szCs w:val="24"/>
          <w:rtl w:val="0"/>
        </w:rPr>
        <w:t xml:space="preserve">, que verifica el ADR asociado, la evidencia real de las pruebas, la ejecución del módulo completo, la existencia de salidas en las máquinas de estado, el uso de excepciones específicas y la actualización de la documentación.</w:t>
      </w:r>
    </w:p>
    <w:p w:rsidR="00000000" w:rsidDel="00000000" w:rsidP="00000000" w:rsidRDefault="00000000" w:rsidRPr="00000000" w14:paraId="000000C5">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Documentos de estado por fase y matriz de trazabilidad comando–ADR–prueba</w:t>
      </w:r>
      <w:r w:rsidDel="00000000" w:rsidR="00000000" w:rsidRPr="00000000">
        <w:rPr>
          <w:rFonts w:ascii="Times New Roman" w:cs="Times New Roman" w:eastAsia="Times New Roman" w:hAnsi="Times New Roman"/>
          <w:sz w:val="24"/>
          <w:szCs w:val="24"/>
          <w:rtl w:val="0"/>
        </w:rPr>
        <w:t xml:space="preserve">, que registran qué se implementó, con qué evidencia y qué queda pendiente.</w:t>
      </w:r>
    </w:p>
    <w:p w:rsidR="00000000" w:rsidDel="00000000" w:rsidP="00000000" w:rsidRDefault="00000000" w:rsidRPr="00000000" w14:paraId="000000C6">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qoesnwgpbdu8" w:id="25"/>
      <w:bookmarkEnd w:id="25"/>
      <w:r w:rsidDel="00000000" w:rsidR="00000000" w:rsidRPr="00000000">
        <w:rPr>
          <w:rFonts w:ascii="Times New Roman" w:cs="Times New Roman" w:eastAsia="Times New Roman" w:hAnsi="Times New Roman"/>
          <w:b w:val="1"/>
          <w:bCs w:val="1"/>
          <w:sz w:val="24"/>
          <w:szCs w:val="24"/>
          <w:rtl w:val="0"/>
        </w:rPr>
        <w:t xml:space="preserve">3.4 Población y muestra</w:t>
      </w:r>
    </w:p>
    <w:p w:rsidR="00000000" w:rsidDel="00000000" w:rsidP="00000000" w:rsidRDefault="00000000" w:rsidRPr="00000000" w14:paraId="000000C7">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tratarse de una investigación de desarrollo tecnológico, la población está conformada por unidades de análisis de software y no por personas. La población corresponde al conjunto de operaciones del dominio del motor: 13 comandos de los agregados (6 de Fund y 7 de PhysicalAsset), distribuidos en siete módulos Maven y respaldados por los ADR numerados del 001 al 042.</w:t>
      </w:r>
    </w:p>
    <w:p w:rsidR="00000000" w:rsidDel="00000000" w:rsidP="00000000" w:rsidRDefault="00000000" w:rsidRPr="00000000" w14:paraId="000000C8">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muestra es no probabilística e intencional. Comprende las suites de pruebas de los módulos verificados en el periodo —entre ellas, 66 pruebas del módulo identity y 43 del módulo crypto— y el escenario demostrativo de siete pasos (Golden Path), seleccionado porque recorre el ciclo de vida completo de una donación. Como población de referencia del contexto, se consideran las fundaciones colombianas descritas por Villar Gómez (2018) y CAF (2025), aunque en esta etapa no se aplicaron instrumentos a personas.</w:t>
      </w:r>
    </w:p>
    <w:p w:rsidR="00000000" w:rsidDel="00000000" w:rsidP="00000000" w:rsidRDefault="00000000" w:rsidRPr="00000000" w14:paraId="000000C9">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bv5l40b5mug0" w:id="26"/>
      <w:bookmarkEnd w:id="26"/>
      <w:r w:rsidDel="00000000" w:rsidR="00000000" w:rsidRPr="00000000">
        <w:rPr>
          <w:rFonts w:ascii="Times New Roman" w:cs="Times New Roman" w:eastAsia="Times New Roman" w:hAnsi="Times New Roman"/>
          <w:b w:val="1"/>
          <w:bCs w:val="1"/>
          <w:sz w:val="24"/>
          <w:szCs w:val="24"/>
          <w:rtl w:val="0"/>
        </w:rPr>
        <w:t xml:space="preserve">3.5 Cronograma</w:t>
      </w:r>
    </w:p>
    <w:p w:rsidR="00000000" w:rsidDel="00000000" w:rsidP="00000000" w:rsidRDefault="00000000" w:rsidRPr="00000000" w14:paraId="000000CA">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2 presenta el cronograma del proyecto durante el periodo académico.</w:t>
      </w:r>
    </w:p>
    <w:p w:rsidR="00000000" w:rsidDel="00000000" w:rsidP="00000000" w:rsidRDefault="00000000" w:rsidRPr="00000000" w14:paraId="000000CB">
      <w:pPr>
        <w:keepNext w:val="1"/>
        <w:spacing w:after="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w:t>
      </w:r>
      <w:r w:rsidDel="00000000" w:rsidR="00000000" w:rsidRPr="00000000">
        <w:rPr>
          <w:rtl w:val="0"/>
        </w:rPr>
      </w:r>
    </w:p>
    <w:p w:rsidR="00000000" w:rsidDel="00000000" w:rsidP="00000000" w:rsidRDefault="00000000" w:rsidRPr="00000000" w14:paraId="000000CC">
      <w:pPr>
        <w:keepNext w:val="1"/>
        <w:spacing w:after="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Cronograma de actividades</w:t>
      </w:r>
      <w:r w:rsidDel="00000000" w:rsidR="00000000" w:rsidRPr="00000000">
        <w:rPr>
          <w:rtl w:val="0"/>
        </w:rPr>
      </w:r>
    </w:p>
    <w:tbl>
      <w:tblPr>
        <w:tblStyle w:val="Table2"/>
        <w:tblW w:w="8800.0" w:type="dxa"/>
        <w:jc w:val="left"/>
        <w:tblBorders>
          <w:top w:color="7f7f7f" w:space="0" w:sz="4" w:val="single"/>
          <w:bottom w:color="7f7f7f" w:space="0" w:sz="4" w:val="single"/>
        </w:tblBorders>
        <w:tblLayout w:type="fixed"/>
        <w:tblLook w:val="04A0"/>
      </w:tblPr>
      <w:tblGrid>
        <w:gridCol w:w="1900"/>
        <w:gridCol w:w="3100"/>
        <w:gridCol w:w="1200"/>
        <w:gridCol w:w="1300"/>
        <w:gridCol w:w="1300"/>
        <w:tblGridChange w:id="0">
          <w:tblGrid>
            <w:gridCol w:w="1900"/>
            <w:gridCol w:w="3100"/>
            <w:gridCol w:w="1200"/>
            <w:gridCol w:w="1300"/>
            <w:gridCol w:w="1300"/>
          </w:tblGrid>
        </w:tblGridChange>
      </w:tblGrid>
      <w:tr>
        <w:trPr>
          <w:cantSplit w:val="0"/>
          <w:tblHeader w:val="0"/>
        </w:trPr>
        <w:tc>
          <w:tcPr/>
          <w:p w:rsidR="00000000" w:rsidDel="00000000" w:rsidP="00000000" w:rsidRDefault="00000000" w:rsidRPr="00000000" w14:paraId="000000CD">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Fase</w:t>
            </w:r>
          </w:p>
        </w:tc>
        <w:tc>
          <w:tcPr/>
          <w:p w:rsidR="00000000" w:rsidDel="00000000" w:rsidP="00000000" w:rsidRDefault="00000000" w:rsidRPr="00000000" w14:paraId="000000CE">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Actividad</w:t>
            </w:r>
          </w:p>
        </w:tc>
        <w:tc>
          <w:tcPr/>
          <w:p w:rsidR="00000000" w:rsidDel="00000000" w:rsidP="00000000" w:rsidRDefault="00000000" w:rsidRPr="00000000" w14:paraId="000000CF">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Duración</w:t>
            </w:r>
          </w:p>
        </w:tc>
        <w:tc>
          <w:tcPr/>
          <w:p w:rsidR="00000000" w:rsidDel="00000000" w:rsidP="00000000" w:rsidRDefault="00000000" w:rsidRPr="00000000" w14:paraId="000000D0">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Fecha de inicio</w:t>
            </w:r>
          </w:p>
        </w:tc>
        <w:tc>
          <w:tcPr/>
          <w:p w:rsidR="00000000" w:rsidDel="00000000" w:rsidP="00000000" w:rsidRDefault="00000000" w:rsidRPr="00000000" w14:paraId="000000D1">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Fecha de cierre</w:t>
            </w:r>
          </w:p>
        </w:tc>
      </w:tr>
      <w:tr>
        <w:trPr>
          <w:cantSplit w:val="0"/>
          <w:tblHeader w:val="0"/>
        </w:trPr>
        <w:tc>
          <w:tcPr/>
          <w:p w:rsidR="00000000" w:rsidDel="00000000" w:rsidP="00000000" w:rsidRDefault="00000000" w:rsidRPr="00000000" w14:paraId="000000D2">
            <w:pPr>
              <w:tabs>
                <w:tab w:val="left" w:leader="none" w:pos="284"/>
                <w:tab w:val="left" w:leader="none" w:pos="567"/>
                <w:tab w:val="center" w:leader="none" w:pos="4252"/>
                <w:tab w:val="left" w:leader="none" w:pos="6700"/>
              </w:tabs>
              <w:spacing w:after="40" w:line="240" w:lineRule="auto"/>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 Formulación del problema</w:t>
            </w:r>
            <w:r w:rsidDel="00000000" w:rsidR="00000000" w:rsidRPr="00000000">
              <w:rPr>
                <w:rtl w:val="0"/>
              </w:rPr>
            </w:r>
          </w:p>
        </w:tc>
        <w:tc>
          <w:tcPr/>
          <w:p w:rsidR="00000000" w:rsidDel="00000000" w:rsidP="00000000" w:rsidRDefault="00000000" w:rsidRPr="00000000" w14:paraId="000000D3">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D4">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D5">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D6">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7">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b w:val="0"/>
                <w:bCs w:val="0"/>
                <w:color w:val="000000"/>
                <w:sz w:val="22"/>
                <w:szCs w:val="22"/>
              </w:rPr>
            </w:pPr>
            <w:r w:rsidDel="00000000" w:rsidR="00000000" w:rsidRPr="00000000">
              <w:rPr>
                <w:rtl w:val="0"/>
              </w:rPr>
            </w:r>
          </w:p>
        </w:tc>
        <w:tc>
          <w:tcPr/>
          <w:p w:rsidR="00000000" w:rsidDel="00000000" w:rsidP="00000000" w:rsidRDefault="00000000" w:rsidRPr="00000000" w14:paraId="000000D8">
            <w:pPr>
              <w:tabs>
                <w:tab w:val="left" w:leader="none" w:pos="284"/>
                <w:tab w:val="left" w:leader="none" w:pos="567"/>
                <w:tab w:val="center" w:leader="none" w:pos="4252"/>
                <w:tab w:val="left" w:leader="none" w:pos="6700"/>
              </w:tabs>
              <w:spacing w:after="40" w:line="240" w:lineRule="auto"/>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Selección del tema y delimitación del problema</w:t>
            </w:r>
            <w:r w:rsidDel="00000000" w:rsidR="00000000" w:rsidRPr="00000000">
              <w:rPr>
                <w:rtl w:val="0"/>
              </w:rPr>
            </w:r>
          </w:p>
        </w:tc>
        <w:tc>
          <w:tcPr/>
          <w:p w:rsidR="00000000" w:rsidDel="00000000" w:rsidP="00000000" w:rsidRDefault="00000000" w:rsidRPr="00000000" w14:paraId="000000D9">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 semana</w:t>
            </w:r>
          </w:p>
        </w:tc>
        <w:tc>
          <w:tcPr/>
          <w:p w:rsidR="00000000" w:rsidDel="00000000" w:rsidP="00000000" w:rsidRDefault="00000000" w:rsidRPr="00000000" w14:paraId="000000DA">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03/08/2026</w:t>
            </w:r>
            <w:r w:rsidDel="00000000" w:rsidR="00000000" w:rsidRPr="00000000">
              <w:rPr>
                <w:rtl w:val="0"/>
              </w:rPr>
            </w:r>
          </w:p>
        </w:tc>
        <w:tc>
          <w:tcPr/>
          <w:p w:rsidR="00000000" w:rsidDel="00000000" w:rsidP="00000000" w:rsidRDefault="00000000" w:rsidRPr="00000000" w14:paraId="000000DB">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09/08/2026</w:t>
            </w:r>
            <w:r w:rsidDel="00000000" w:rsidR="00000000" w:rsidRPr="00000000">
              <w:rPr>
                <w:rtl w:val="0"/>
              </w:rPr>
            </w:r>
          </w:p>
        </w:tc>
      </w:tr>
      <w:tr>
        <w:trPr>
          <w:cantSplit w:val="0"/>
          <w:tblHeader w:val="0"/>
        </w:trPr>
        <w:tc>
          <w:tcPr/>
          <w:p w:rsidR="00000000" w:rsidDel="00000000" w:rsidP="00000000" w:rsidRDefault="00000000" w:rsidRPr="00000000" w14:paraId="000000DC">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b w:val="0"/>
                <w:bCs w:val="0"/>
                <w:color w:val="000000"/>
                <w:sz w:val="22"/>
                <w:szCs w:val="22"/>
              </w:rPr>
            </w:pPr>
            <w:r w:rsidDel="00000000" w:rsidR="00000000" w:rsidRPr="00000000">
              <w:rPr>
                <w:rtl w:val="0"/>
              </w:rPr>
            </w:r>
          </w:p>
        </w:tc>
        <w:tc>
          <w:tcPr/>
          <w:p w:rsidR="00000000" w:rsidDel="00000000" w:rsidP="00000000" w:rsidRDefault="00000000" w:rsidRPr="00000000" w14:paraId="000000DD">
            <w:pPr>
              <w:tabs>
                <w:tab w:val="left" w:leader="none" w:pos="284"/>
                <w:tab w:val="left" w:leader="none" w:pos="567"/>
                <w:tab w:val="center" w:leader="none" w:pos="4252"/>
                <w:tab w:val="left" w:leader="none" w:pos="6700"/>
              </w:tabs>
              <w:spacing w:after="40" w:line="240" w:lineRule="auto"/>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Revisión documental, estado del arte y marco legal</w:t>
            </w:r>
            <w:r w:rsidDel="00000000" w:rsidR="00000000" w:rsidRPr="00000000">
              <w:rPr>
                <w:rtl w:val="0"/>
              </w:rPr>
            </w:r>
          </w:p>
        </w:tc>
        <w:tc>
          <w:tcPr/>
          <w:p w:rsidR="00000000" w:rsidDel="00000000" w:rsidP="00000000" w:rsidRDefault="00000000" w:rsidRPr="00000000" w14:paraId="000000DE">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 semanas</w:t>
            </w:r>
          </w:p>
        </w:tc>
        <w:tc>
          <w:tcPr/>
          <w:p w:rsidR="00000000" w:rsidDel="00000000" w:rsidP="00000000" w:rsidRDefault="00000000" w:rsidRPr="00000000" w14:paraId="000000DF">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10/08/2026</w:t>
            </w:r>
            <w:r w:rsidDel="00000000" w:rsidR="00000000" w:rsidRPr="00000000">
              <w:rPr>
                <w:rtl w:val="0"/>
              </w:rPr>
            </w:r>
          </w:p>
        </w:tc>
        <w:tc>
          <w:tcPr/>
          <w:p w:rsidR="00000000" w:rsidDel="00000000" w:rsidP="00000000" w:rsidRDefault="00000000" w:rsidRPr="00000000" w14:paraId="000000E0">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23/08/2026</w:t>
            </w:r>
            <w:r w:rsidDel="00000000" w:rsidR="00000000" w:rsidRPr="00000000">
              <w:rPr>
                <w:rtl w:val="0"/>
              </w:rPr>
            </w:r>
          </w:p>
        </w:tc>
      </w:tr>
      <w:tr>
        <w:trPr>
          <w:cantSplit w:val="0"/>
          <w:tblHeader w:val="0"/>
        </w:trPr>
        <w:tc>
          <w:tcPr/>
          <w:p w:rsidR="00000000" w:rsidDel="00000000" w:rsidP="00000000" w:rsidRDefault="00000000" w:rsidRPr="00000000" w14:paraId="000000E1">
            <w:pPr>
              <w:tabs>
                <w:tab w:val="left" w:leader="none" w:pos="284"/>
                <w:tab w:val="left" w:leader="none" w:pos="567"/>
                <w:tab w:val="center" w:leader="none" w:pos="4252"/>
                <w:tab w:val="left" w:leader="none" w:pos="6700"/>
              </w:tabs>
              <w:spacing w:after="40" w:line="240" w:lineRule="auto"/>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 Análisis y diseño</w:t>
            </w:r>
            <w:r w:rsidDel="00000000" w:rsidR="00000000" w:rsidRPr="00000000">
              <w:rPr>
                <w:rtl w:val="0"/>
              </w:rPr>
            </w:r>
          </w:p>
        </w:tc>
        <w:tc>
          <w:tcPr/>
          <w:p w:rsidR="00000000" w:rsidDel="00000000" w:rsidP="00000000" w:rsidRDefault="00000000" w:rsidRPr="00000000" w14:paraId="000000E2">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E3">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E4">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E5">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6">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b w:val="0"/>
                <w:bCs w:val="0"/>
                <w:color w:val="000000"/>
                <w:sz w:val="22"/>
                <w:szCs w:val="22"/>
              </w:rPr>
            </w:pPr>
            <w:r w:rsidDel="00000000" w:rsidR="00000000" w:rsidRPr="00000000">
              <w:rPr>
                <w:rtl w:val="0"/>
              </w:rPr>
            </w:r>
          </w:p>
        </w:tc>
        <w:tc>
          <w:tcPr/>
          <w:p w:rsidR="00000000" w:rsidDel="00000000" w:rsidP="00000000" w:rsidRDefault="00000000" w:rsidRPr="00000000" w14:paraId="000000E7">
            <w:pPr>
              <w:tabs>
                <w:tab w:val="left" w:leader="none" w:pos="284"/>
                <w:tab w:val="left" w:leader="none" w:pos="567"/>
                <w:tab w:val="center" w:leader="none" w:pos="4252"/>
                <w:tab w:val="left" w:leader="none" w:pos="6700"/>
              </w:tabs>
              <w:spacing w:after="40" w:line="240" w:lineRule="auto"/>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Modelado del dominio, agregados, eventos e invariantes (Fase 1)</w:t>
            </w:r>
            <w:r w:rsidDel="00000000" w:rsidR="00000000" w:rsidRPr="00000000">
              <w:rPr>
                <w:rtl w:val="0"/>
              </w:rPr>
            </w:r>
          </w:p>
        </w:tc>
        <w:tc>
          <w:tcPr/>
          <w:p w:rsidR="00000000" w:rsidDel="00000000" w:rsidP="00000000" w:rsidRDefault="00000000" w:rsidRPr="00000000" w14:paraId="000000E8">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 semanas</w:t>
            </w:r>
          </w:p>
        </w:tc>
        <w:tc>
          <w:tcPr/>
          <w:p w:rsidR="00000000" w:rsidDel="00000000" w:rsidP="00000000" w:rsidRDefault="00000000" w:rsidRPr="00000000" w14:paraId="000000E9">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10/08/2026</w:t>
            </w:r>
            <w:r w:rsidDel="00000000" w:rsidR="00000000" w:rsidRPr="00000000">
              <w:rPr>
                <w:rtl w:val="0"/>
              </w:rPr>
            </w:r>
          </w:p>
        </w:tc>
        <w:tc>
          <w:tcPr/>
          <w:p w:rsidR="00000000" w:rsidDel="00000000" w:rsidP="00000000" w:rsidRDefault="00000000" w:rsidRPr="00000000" w14:paraId="000000EA">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23/08/2026</w:t>
            </w:r>
            <w:r w:rsidDel="00000000" w:rsidR="00000000" w:rsidRPr="00000000">
              <w:rPr>
                <w:rtl w:val="0"/>
              </w:rPr>
            </w:r>
          </w:p>
        </w:tc>
      </w:tr>
      <w:tr>
        <w:trPr>
          <w:cantSplit w:val="0"/>
          <w:tblHeader w:val="0"/>
        </w:trPr>
        <w:tc>
          <w:tcPr/>
          <w:p w:rsidR="00000000" w:rsidDel="00000000" w:rsidP="00000000" w:rsidRDefault="00000000" w:rsidRPr="00000000" w14:paraId="000000EB">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b w:val="0"/>
                <w:bCs w:val="0"/>
                <w:color w:val="000000"/>
                <w:sz w:val="22"/>
                <w:szCs w:val="22"/>
              </w:rPr>
            </w:pPr>
            <w:r w:rsidDel="00000000" w:rsidR="00000000" w:rsidRPr="00000000">
              <w:rPr>
                <w:rtl w:val="0"/>
              </w:rPr>
            </w:r>
          </w:p>
        </w:tc>
        <w:tc>
          <w:tcPr/>
          <w:p w:rsidR="00000000" w:rsidDel="00000000" w:rsidP="00000000" w:rsidRDefault="00000000" w:rsidRPr="00000000" w14:paraId="000000EC">
            <w:pPr>
              <w:tabs>
                <w:tab w:val="left" w:leader="none" w:pos="284"/>
                <w:tab w:val="left" w:leader="none" w:pos="567"/>
                <w:tab w:val="center" w:leader="none" w:pos="4252"/>
                <w:tab w:val="left" w:leader="none" w:pos="6700"/>
              </w:tabs>
              <w:spacing w:after="40" w:line="240" w:lineRule="auto"/>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Registro y aprobación de ADR de dominio y concurrencia</w:t>
            </w:r>
            <w:r w:rsidDel="00000000" w:rsidR="00000000" w:rsidRPr="00000000">
              <w:rPr>
                <w:rtl w:val="0"/>
              </w:rPr>
            </w:r>
          </w:p>
        </w:tc>
        <w:tc>
          <w:tcPr/>
          <w:p w:rsidR="00000000" w:rsidDel="00000000" w:rsidP="00000000" w:rsidRDefault="00000000" w:rsidRPr="00000000" w14:paraId="000000ED">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 semana</w:t>
            </w:r>
          </w:p>
        </w:tc>
        <w:tc>
          <w:tcPr/>
          <w:p w:rsidR="00000000" w:rsidDel="00000000" w:rsidP="00000000" w:rsidRDefault="00000000" w:rsidRPr="00000000" w14:paraId="000000EE">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17/08/2026</w:t>
            </w:r>
            <w:r w:rsidDel="00000000" w:rsidR="00000000" w:rsidRPr="00000000">
              <w:rPr>
                <w:rtl w:val="0"/>
              </w:rPr>
            </w:r>
          </w:p>
        </w:tc>
        <w:tc>
          <w:tcPr/>
          <w:p w:rsidR="00000000" w:rsidDel="00000000" w:rsidP="00000000" w:rsidRDefault="00000000" w:rsidRPr="00000000" w14:paraId="000000EF">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23/08/2026</w:t>
            </w:r>
            <w:r w:rsidDel="00000000" w:rsidR="00000000" w:rsidRPr="00000000">
              <w:rPr>
                <w:rtl w:val="0"/>
              </w:rPr>
            </w:r>
          </w:p>
        </w:tc>
      </w:tr>
      <w:tr>
        <w:trPr>
          <w:cantSplit w:val="0"/>
          <w:tblHeader w:val="0"/>
        </w:trPr>
        <w:tc>
          <w:tcPr/>
          <w:p w:rsidR="00000000" w:rsidDel="00000000" w:rsidP="00000000" w:rsidRDefault="00000000" w:rsidRPr="00000000" w14:paraId="000000F0">
            <w:pPr>
              <w:tabs>
                <w:tab w:val="left" w:leader="none" w:pos="284"/>
                <w:tab w:val="left" w:leader="none" w:pos="567"/>
                <w:tab w:val="center" w:leader="none" w:pos="4252"/>
                <w:tab w:val="left" w:leader="none" w:pos="6700"/>
              </w:tabs>
              <w:spacing w:after="40" w:line="240" w:lineRule="auto"/>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3. Codificación</w:t>
            </w:r>
            <w:r w:rsidDel="00000000" w:rsidR="00000000" w:rsidRPr="00000000">
              <w:rPr>
                <w:rtl w:val="0"/>
              </w:rPr>
            </w:r>
          </w:p>
        </w:tc>
        <w:tc>
          <w:tcPr/>
          <w:p w:rsidR="00000000" w:rsidDel="00000000" w:rsidP="00000000" w:rsidRDefault="00000000" w:rsidRPr="00000000" w14:paraId="000000F1">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F2">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F3">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F4">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5">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b w:val="0"/>
                <w:bCs w:val="0"/>
                <w:color w:val="000000"/>
                <w:sz w:val="22"/>
                <w:szCs w:val="22"/>
              </w:rPr>
            </w:pPr>
            <w:r w:rsidDel="00000000" w:rsidR="00000000" w:rsidRPr="00000000">
              <w:rPr>
                <w:rtl w:val="0"/>
              </w:rPr>
            </w:r>
          </w:p>
        </w:tc>
        <w:tc>
          <w:tcPr/>
          <w:p w:rsidR="00000000" w:rsidDel="00000000" w:rsidP="00000000" w:rsidRDefault="00000000" w:rsidRPr="00000000" w14:paraId="000000F6">
            <w:pPr>
              <w:tabs>
                <w:tab w:val="left" w:leader="none" w:pos="284"/>
                <w:tab w:val="left" w:leader="none" w:pos="567"/>
                <w:tab w:val="center" w:leader="none" w:pos="4252"/>
                <w:tab w:val="left" w:leader="none" w:pos="6700"/>
              </w:tabs>
              <w:spacing w:after="40" w:line="240" w:lineRule="auto"/>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Event Store, criptografía, sagas, proyecciones, IA y anclaje (Fase 2)</w:t>
            </w:r>
            <w:r w:rsidDel="00000000" w:rsidR="00000000" w:rsidRPr="00000000">
              <w:rPr>
                <w:rtl w:val="0"/>
              </w:rPr>
            </w:r>
          </w:p>
        </w:tc>
        <w:tc>
          <w:tcPr/>
          <w:p w:rsidR="00000000" w:rsidDel="00000000" w:rsidP="00000000" w:rsidRDefault="00000000" w:rsidRPr="00000000" w14:paraId="000000F7">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3 semanas</w:t>
            </w:r>
          </w:p>
        </w:tc>
        <w:tc>
          <w:tcPr/>
          <w:p w:rsidR="00000000" w:rsidDel="00000000" w:rsidP="00000000" w:rsidRDefault="00000000" w:rsidRPr="00000000" w14:paraId="000000F8">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24/08/2026</w:t>
            </w:r>
            <w:r w:rsidDel="00000000" w:rsidR="00000000" w:rsidRPr="00000000">
              <w:rPr>
                <w:rtl w:val="0"/>
              </w:rPr>
            </w:r>
          </w:p>
        </w:tc>
        <w:tc>
          <w:tcPr/>
          <w:p w:rsidR="00000000" w:rsidDel="00000000" w:rsidP="00000000" w:rsidRDefault="00000000" w:rsidRPr="00000000" w14:paraId="000000F9">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13/09/2026</w:t>
            </w:r>
            <w:r w:rsidDel="00000000" w:rsidR="00000000" w:rsidRPr="00000000">
              <w:rPr>
                <w:rtl w:val="0"/>
              </w:rPr>
            </w:r>
          </w:p>
        </w:tc>
      </w:tr>
      <w:tr>
        <w:trPr>
          <w:cantSplit w:val="0"/>
          <w:tblHeader w:val="0"/>
        </w:trPr>
        <w:tc>
          <w:tcPr/>
          <w:p w:rsidR="00000000" w:rsidDel="00000000" w:rsidP="00000000" w:rsidRDefault="00000000" w:rsidRPr="00000000" w14:paraId="000000FA">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b w:val="0"/>
                <w:bCs w:val="0"/>
                <w:color w:val="000000"/>
                <w:sz w:val="22"/>
                <w:szCs w:val="22"/>
              </w:rPr>
            </w:pPr>
            <w:r w:rsidDel="00000000" w:rsidR="00000000" w:rsidRPr="00000000">
              <w:rPr>
                <w:rtl w:val="0"/>
              </w:rPr>
            </w:r>
          </w:p>
        </w:tc>
        <w:tc>
          <w:tcPr/>
          <w:p w:rsidR="00000000" w:rsidDel="00000000" w:rsidP="00000000" w:rsidRDefault="00000000" w:rsidRPr="00000000" w14:paraId="000000FB">
            <w:pPr>
              <w:tabs>
                <w:tab w:val="left" w:leader="none" w:pos="284"/>
                <w:tab w:val="left" w:leader="none" w:pos="567"/>
                <w:tab w:val="center" w:leader="none" w:pos="4252"/>
                <w:tab w:val="left" w:leader="none" w:pos="6700"/>
              </w:tabs>
              <w:spacing w:after="40" w:line="240" w:lineRule="auto"/>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API pública de consulta e identidad (Fases 3 y 4)</w:t>
            </w:r>
            <w:r w:rsidDel="00000000" w:rsidR="00000000" w:rsidRPr="00000000">
              <w:rPr>
                <w:rtl w:val="0"/>
              </w:rPr>
            </w:r>
          </w:p>
        </w:tc>
        <w:tc>
          <w:tcPr/>
          <w:p w:rsidR="00000000" w:rsidDel="00000000" w:rsidP="00000000" w:rsidRDefault="00000000" w:rsidRPr="00000000" w14:paraId="000000FC">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 semanas</w:t>
            </w:r>
          </w:p>
        </w:tc>
        <w:tc>
          <w:tcPr/>
          <w:p w:rsidR="00000000" w:rsidDel="00000000" w:rsidP="00000000" w:rsidRDefault="00000000" w:rsidRPr="00000000" w14:paraId="000000FD">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07/09/2026</w:t>
            </w:r>
            <w:r w:rsidDel="00000000" w:rsidR="00000000" w:rsidRPr="00000000">
              <w:rPr>
                <w:rtl w:val="0"/>
              </w:rPr>
            </w:r>
          </w:p>
        </w:tc>
        <w:tc>
          <w:tcPr/>
          <w:p w:rsidR="00000000" w:rsidDel="00000000" w:rsidP="00000000" w:rsidRDefault="00000000" w:rsidRPr="00000000" w14:paraId="000000FE">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20/09/2026</w:t>
            </w:r>
            <w:r w:rsidDel="00000000" w:rsidR="00000000" w:rsidRPr="00000000">
              <w:rPr>
                <w:rtl w:val="0"/>
              </w:rPr>
            </w:r>
          </w:p>
        </w:tc>
      </w:tr>
      <w:tr>
        <w:trPr>
          <w:cantSplit w:val="0"/>
          <w:tblHeader w:val="0"/>
        </w:trPr>
        <w:tc>
          <w:tcPr/>
          <w:p w:rsidR="00000000" w:rsidDel="00000000" w:rsidP="00000000" w:rsidRDefault="00000000" w:rsidRPr="00000000" w14:paraId="000000FF">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b w:val="0"/>
                <w:bCs w:val="0"/>
                <w:color w:val="000000"/>
                <w:sz w:val="22"/>
                <w:szCs w:val="22"/>
              </w:rPr>
            </w:pPr>
            <w:r w:rsidDel="00000000" w:rsidR="00000000" w:rsidRPr="00000000">
              <w:rPr>
                <w:rtl w:val="0"/>
              </w:rPr>
            </w:r>
          </w:p>
        </w:tc>
        <w:tc>
          <w:tcPr/>
          <w:p w:rsidR="00000000" w:rsidDel="00000000" w:rsidP="00000000" w:rsidRDefault="00000000" w:rsidRPr="00000000" w14:paraId="00000100">
            <w:pPr>
              <w:tabs>
                <w:tab w:val="left" w:leader="none" w:pos="284"/>
                <w:tab w:val="left" w:leader="none" w:pos="567"/>
                <w:tab w:val="center" w:leader="none" w:pos="4252"/>
                <w:tab w:val="left" w:leader="none" w:pos="6700"/>
              </w:tabs>
              <w:spacing w:after="40" w:line="240" w:lineRule="auto"/>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Autorización y donación en especie (Fase 5)</w:t>
            </w:r>
            <w:r w:rsidDel="00000000" w:rsidR="00000000" w:rsidRPr="00000000">
              <w:rPr>
                <w:rtl w:val="0"/>
              </w:rPr>
            </w:r>
          </w:p>
        </w:tc>
        <w:tc>
          <w:tcPr/>
          <w:p w:rsidR="00000000" w:rsidDel="00000000" w:rsidP="00000000" w:rsidRDefault="00000000" w:rsidRPr="00000000" w14:paraId="00000101">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 semana</w:t>
            </w:r>
          </w:p>
        </w:tc>
        <w:tc>
          <w:tcPr/>
          <w:p w:rsidR="00000000" w:rsidDel="00000000" w:rsidP="00000000" w:rsidRDefault="00000000" w:rsidRPr="00000000" w14:paraId="00000102">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21/09/2026</w:t>
            </w:r>
            <w:r w:rsidDel="00000000" w:rsidR="00000000" w:rsidRPr="00000000">
              <w:rPr>
                <w:rtl w:val="0"/>
              </w:rPr>
            </w:r>
          </w:p>
        </w:tc>
        <w:tc>
          <w:tcPr/>
          <w:p w:rsidR="00000000" w:rsidDel="00000000" w:rsidP="00000000" w:rsidRDefault="00000000" w:rsidRPr="00000000" w14:paraId="00000103">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27/09/2026</w:t>
            </w:r>
            <w:r w:rsidDel="00000000" w:rsidR="00000000" w:rsidRPr="00000000">
              <w:rPr>
                <w:rtl w:val="0"/>
              </w:rPr>
            </w:r>
          </w:p>
        </w:tc>
      </w:tr>
      <w:tr>
        <w:trPr>
          <w:cantSplit w:val="0"/>
          <w:tblHeader w:val="0"/>
        </w:trPr>
        <w:tc>
          <w:tcPr/>
          <w:p w:rsidR="00000000" w:rsidDel="00000000" w:rsidP="00000000" w:rsidRDefault="00000000" w:rsidRPr="00000000" w14:paraId="00000104">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b w:val="0"/>
                <w:bCs w:val="0"/>
                <w:color w:val="000000"/>
                <w:sz w:val="22"/>
                <w:szCs w:val="22"/>
              </w:rPr>
            </w:pPr>
            <w:r w:rsidDel="00000000" w:rsidR="00000000" w:rsidRPr="00000000">
              <w:rPr>
                <w:rtl w:val="0"/>
              </w:rPr>
            </w:r>
          </w:p>
        </w:tc>
        <w:tc>
          <w:tcPr/>
          <w:p w:rsidR="00000000" w:rsidDel="00000000" w:rsidP="00000000" w:rsidRDefault="00000000" w:rsidRPr="00000000" w14:paraId="00000105">
            <w:pPr>
              <w:tabs>
                <w:tab w:val="left" w:leader="none" w:pos="284"/>
                <w:tab w:val="left" w:leader="none" w:pos="567"/>
                <w:tab w:val="center" w:leader="none" w:pos="4252"/>
                <w:tab w:val="left" w:leader="none" w:pos="6700"/>
              </w:tabs>
              <w:spacing w:after="40" w:line="240" w:lineRule="auto"/>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Convocatoria, verificación de integridad, API y frontend (Fase 6)</w:t>
            </w:r>
            <w:r w:rsidDel="00000000" w:rsidR="00000000" w:rsidRPr="00000000">
              <w:rPr>
                <w:rtl w:val="0"/>
              </w:rPr>
            </w:r>
          </w:p>
        </w:tc>
        <w:tc>
          <w:tcPr/>
          <w:p w:rsidR="00000000" w:rsidDel="00000000" w:rsidP="00000000" w:rsidRDefault="00000000" w:rsidRPr="00000000" w14:paraId="00000106">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5 semanas</w:t>
            </w:r>
          </w:p>
        </w:tc>
        <w:tc>
          <w:tcPr/>
          <w:p w:rsidR="00000000" w:rsidDel="00000000" w:rsidP="00000000" w:rsidRDefault="00000000" w:rsidRPr="00000000" w14:paraId="00000107">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28/09/2026</w:t>
            </w:r>
            <w:r w:rsidDel="00000000" w:rsidR="00000000" w:rsidRPr="00000000">
              <w:rPr>
                <w:rtl w:val="0"/>
              </w:rPr>
            </w:r>
          </w:p>
        </w:tc>
        <w:tc>
          <w:tcPr/>
          <w:p w:rsidR="00000000" w:rsidDel="00000000" w:rsidP="00000000" w:rsidRDefault="00000000" w:rsidRPr="00000000" w14:paraId="00000108">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01/11/2026</w:t>
            </w:r>
            <w:r w:rsidDel="00000000" w:rsidR="00000000" w:rsidRPr="00000000">
              <w:rPr>
                <w:rtl w:val="0"/>
              </w:rPr>
            </w:r>
          </w:p>
        </w:tc>
      </w:tr>
      <w:tr>
        <w:trPr>
          <w:cantSplit w:val="0"/>
          <w:tblHeader w:val="0"/>
        </w:trPr>
        <w:tc>
          <w:tcPr/>
          <w:p w:rsidR="00000000" w:rsidDel="00000000" w:rsidP="00000000" w:rsidRDefault="00000000" w:rsidRPr="00000000" w14:paraId="00000109">
            <w:pPr>
              <w:tabs>
                <w:tab w:val="left" w:leader="none" w:pos="284"/>
                <w:tab w:val="left" w:leader="none" w:pos="567"/>
                <w:tab w:val="center" w:leader="none" w:pos="4252"/>
                <w:tab w:val="left" w:leader="none" w:pos="6700"/>
              </w:tabs>
              <w:spacing w:after="40" w:line="240" w:lineRule="auto"/>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4. Verificación</w:t>
            </w:r>
            <w:r w:rsidDel="00000000" w:rsidR="00000000" w:rsidRPr="00000000">
              <w:rPr>
                <w:rtl w:val="0"/>
              </w:rPr>
            </w:r>
          </w:p>
        </w:tc>
        <w:tc>
          <w:tcPr/>
          <w:p w:rsidR="00000000" w:rsidDel="00000000" w:rsidP="00000000" w:rsidRDefault="00000000" w:rsidRPr="00000000" w14:paraId="0000010A">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10B">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10C">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10D">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E">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b w:val="0"/>
                <w:bCs w:val="0"/>
                <w:color w:val="000000"/>
                <w:sz w:val="22"/>
                <w:szCs w:val="22"/>
              </w:rPr>
            </w:pPr>
            <w:r w:rsidDel="00000000" w:rsidR="00000000" w:rsidRPr="00000000">
              <w:rPr>
                <w:rtl w:val="0"/>
              </w:rPr>
            </w:r>
          </w:p>
        </w:tc>
        <w:tc>
          <w:tcPr/>
          <w:p w:rsidR="00000000" w:rsidDel="00000000" w:rsidP="00000000" w:rsidRDefault="00000000" w:rsidRPr="00000000" w14:paraId="0000010F">
            <w:pPr>
              <w:tabs>
                <w:tab w:val="left" w:leader="none" w:pos="284"/>
                <w:tab w:val="left" w:leader="none" w:pos="567"/>
                <w:tab w:val="center" w:leader="none" w:pos="4252"/>
                <w:tab w:val="left" w:leader="none" w:pos="6700"/>
              </w:tabs>
              <w:spacing w:after="40" w:line="240" w:lineRule="auto"/>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Pruebas unitarias, de integración y de arquitectura por módulo</w:t>
            </w:r>
            <w:r w:rsidDel="00000000" w:rsidR="00000000" w:rsidRPr="00000000">
              <w:rPr>
                <w:rtl w:val="0"/>
              </w:rPr>
            </w:r>
          </w:p>
        </w:tc>
        <w:tc>
          <w:tcPr/>
          <w:p w:rsidR="00000000" w:rsidDel="00000000" w:rsidP="00000000" w:rsidRDefault="00000000" w:rsidRPr="00000000" w14:paraId="00000110">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Continua</w:t>
            </w:r>
          </w:p>
        </w:tc>
        <w:tc>
          <w:tcPr/>
          <w:p w:rsidR="00000000" w:rsidDel="00000000" w:rsidP="00000000" w:rsidRDefault="00000000" w:rsidRPr="00000000" w14:paraId="00000111">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24/08/2026</w:t>
            </w:r>
            <w:r w:rsidDel="00000000" w:rsidR="00000000" w:rsidRPr="00000000">
              <w:rPr>
                <w:rtl w:val="0"/>
              </w:rPr>
            </w:r>
          </w:p>
        </w:tc>
        <w:tc>
          <w:tcPr/>
          <w:p w:rsidR="00000000" w:rsidDel="00000000" w:rsidP="00000000" w:rsidRDefault="00000000" w:rsidRPr="00000000" w14:paraId="00000112">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08/11/2026</w:t>
            </w:r>
            <w:r w:rsidDel="00000000" w:rsidR="00000000" w:rsidRPr="00000000">
              <w:rPr>
                <w:rtl w:val="0"/>
              </w:rPr>
            </w:r>
          </w:p>
        </w:tc>
      </w:tr>
      <w:tr>
        <w:trPr>
          <w:cantSplit w:val="0"/>
          <w:tblHeader w:val="0"/>
        </w:trPr>
        <w:tc>
          <w:tcPr/>
          <w:p w:rsidR="00000000" w:rsidDel="00000000" w:rsidP="00000000" w:rsidRDefault="00000000" w:rsidRPr="00000000" w14:paraId="00000113">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b w:val="0"/>
                <w:bCs w:val="0"/>
                <w:color w:val="000000"/>
                <w:sz w:val="22"/>
                <w:szCs w:val="22"/>
              </w:rPr>
            </w:pPr>
            <w:r w:rsidDel="00000000" w:rsidR="00000000" w:rsidRPr="00000000">
              <w:rPr>
                <w:rtl w:val="0"/>
              </w:rPr>
            </w:r>
          </w:p>
        </w:tc>
        <w:tc>
          <w:tcPr/>
          <w:p w:rsidR="00000000" w:rsidDel="00000000" w:rsidP="00000000" w:rsidRDefault="00000000" w:rsidRPr="00000000" w14:paraId="00000114">
            <w:pPr>
              <w:tabs>
                <w:tab w:val="left" w:leader="none" w:pos="284"/>
                <w:tab w:val="left" w:leader="none" w:pos="567"/>
                <w:tab w:val="center" w:leader="none" w:pos="4252"/>
                <w:tab w:val="left" w:leader="none" w:pos="6700"/>
              </w:tabs>
              <w:spacing w:after="40" w:line="240" w:lineRule="auto"/>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Pruebas integrales del escenario demostrativo</w:t>
            </w:r>
            <w:r w:rsidDel="00000000" w:rsidR="00000000" w:rsidRPr="00000000">
              <w:rPr>
                <w:rtl w:val="0"/>
              </w:rPr>
            </w:r>
          </w:p>
        </w:tc>
        <w:tc>
          <w:tcPr/>
          <w:p w:rsidR="00000000" w:rsidDel="00000000" w:rsidP="00000000" w:rsidRDefault="00000000" w:rsidRPr="00000000" w14:paraId="00000115">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 semana</w:t>
            </w:r>
          </w:p>
        </w:tc>
        <w:tc>
          <w:tcPr/>
          <w:p w:rsidR="00000000" w:rsidDel="00000000" w:rsidP="00000000" w:rsidRDefault="00000000" w:rsidRPr="00000000" w14:paraId="00000116">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02/11/2026</w:t>
            </w:r>
            <w:r w:rsidDel="00000000" w:rsidR="00000000" w:rsidRPr="00000000">
              <w:rPr>
                <w:rtl w:val="0"/>
              </w:rPr>
            </w:r>
          </w:p>
        </w:tc>
        <w:tc>
          <w:tcPr/>
          <w:p w:rsidR="00000000" w:rsidDel="00000000" w:rsidP="00000000" w:rsidRDefault="00000000" w:rsidRPr="00000000" w14:paraId="00000117">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08/11/2026</w:t>
            </w:r>
            <w:r w:rsidDel="00000000" w:rsidR="00000000" w:rsidRPr="00000000">
              <w:rPr>
                <w:rtl w:val="0"/>
              </w:rPr>
            </w:r>
          </w:p>
        </w:tc>
      </w:tr>
      <w:tr>
        <w:trPr>
          <w:cantSplit w:val="0"/>
          <w:tblHeader w:val="0"/>
        </w:trPr>
        <w:tc>
          <w:tcPr/>
          <w:p w:rsidR="00000000" w:rsidDel="00000000" w:rsidP="00000000" w:rsidRDefault="00000000" w:rsidRPr="00000000" w14:paraId="00000118">
            <w:pPr>
              <w:tabs>
                <w:tab w:val="left" w:leader="none" w:pos="284"/>
                <w:tab w:val="left" w:leader="none" w:pos="567"/>
                <w:tab w:val="center" w:leader="none" w:pos="4252"/>
                <w:tab w:val="left" w:leader="none" w:pos="6700"/>
              </w:tabs>
              <w:spacing w:after="40" w:line="240" w:lineRule="auto"/>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5. Implementación y cierre</w:t>
            </w:r>
            <w:r w:rsidDel="00000000" w:rsidR="00000000" w:rsidRPr="00000000">
              <w:rPr>
                <w:rtl w:val="0"/>
              </w:rPr>
            </w:r>
          </w:p>
        </w:tc>
        <w:tc>
          <w:tcPr/>
          <w:p w:rsidR="00000000" w:rsidDel="00000000" w:rsidP="00000000" w:rsidRDefault="00000000" w:rsidRPr="00000000" w14:paraId="00000119">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11A">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11B">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11C">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D">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b w:val="0"/>
                <w:bCs w:val="0"/>
                <w:color w:val="000000"/>
                <w:sz w:val="22"/>
                <w:szCs w:val="22"/>
              </w:rPr>
            </w:pPr>
            <w:r w:rsidDel="00000000" w:rsidR="00000000" w:rsidRPr="00000000">
              <w:rPr>
                <w:rtl w:val="0"/>
              </w:rPr>
            </w:r>
          </w:p>
        </w:tc>
        <w:tc>
          <w:tcPr/>
          <w:p w:rsidR="00000000" w:rsidDel="00000000" w:rsidP="00000000" w:rsidRDefault="00000000" w:rsidRPr="00000000" w14:paraId="0000011E">
            <w:pPr>
              <w:tabs>
                <w:tab w:val="left" w:leader="none" w:pos="284"/>
                <w:tab w:val="left" w:leader="none" w:pos="567"/>
                <w:tab w:val="center" w:leader="none" w:pos="4252"/>
                <w:tab w:val="left" w:leader="none" w:pos="6700"/>
              </w:tabs>
              <w:spacing w:after="40" w:line="240" w:lineRule="auto"/>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Despliegue del escenario demostrativo y preparación del anclaje en red de prueba</w:t>
            </w:r>
            <w:r w:rsidDel="00000000" w:rsidR="00000000" w:rsidRPr="00000000">
              <w:rPr>
                <w:rtl w:val="0"/>
              </w:rPr>
            </w:r>
          </w:p>
        </w:tc>
        <w:tc>
          <w:tcPr/>
          <w:p w:rsidR="00000000" w:rsidDel="00000000" w:rsidP="00000000" w:rsidRDefault="00000000" w:rsidRPr="00000000" w14:paraId="0000011F">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 semana</w:t>
            </w:r>
          </w:p>
        </w:tc>
        <w:tc>
          <w:tcPr/>
          <w:p w:rsidR="00000000" w:rsidDel="00000000" w:rsidP="00000000" w:rsidRDefault="00000000" w:rsidRPr="00000000" w14:paraId="00000120">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09/11/2026</w:t>
            </w:r>
            <w:r w:rsidDel="00000000" w:rsidR="00000000" w:rsidRPr="00000000">
              <w:rPr>
                <w:rtl w:val="0"/>
              </w:rPr>
            </w:r>
          </w:p>
        </w:tc>
        <w:tc>
          <w:tcPr/>
          <w:p w:rsidR="00000000" w:rsidDel="00000000" w:rsidP="00000000" w:rsidRDefault="00000000" w:rsidRPr="00000000" w14:paraId="00000121">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15/11/2026</w:t>
            </w:r>
            <w:r w:rsidDel="00000000" w:rsidR="00000000" w:rsidRPr="00000000">
              <w:rPr>
                <w:rtl w:val="0"/>
              </w:rPr>
            </w:r>
          </w:p>
        </w:tc>
      </w:tr>
      <w:tr>
        <w:trPr>
          <w:cantSplit w:val="0"/>
          <w:tblHeader w:val="0"/>
        </w:trPr>
        <w:tc>
          <w:tcPr/>
          <w:p w:rsidR="00000000" w:rsidDel="00000000" w:rsidP="00000000" w:rsidRDefault="00000000" w:rsidRPr="00000000" w14:paraId="00000122">
            <w:pPr>
              <w:tabs>
                <w:tab w:val="left" w:leader="none" w:pos="284"/>
                <w:tab w:val="left" w:leader="none" w:pos="567"/>
                <w:tab w:val="center" w:leader="none" w:pos="4252"/>
                <w:tab w:val="left" w:leader="none" w:pos="6700"/>
              </w:tabs>
              <w:spacing w:after="40" w:line="240" w:lineRule="auto"/>
              <w:jc w:val="both"/>
              <w:rPr>
                <w:rFonts w:ascii="Times New Roman" w:cs="Times New Roman" w:eastAsia="Times New Roman" w:hAnsi="Times New Roman"/>
                <w:b w:val="0"/>
                <w:bCs w:val="0"/>
                <w:color w:val="000000"/>
                <w:sz w:val="22"/>
                <w:szCs w:val="22"/>
              </w:rPr>
            </w:pPr>
            <w:r w:rsidDel="00000000" w:rsidR="00000000" w:rsidRPr="00000000">
              <w:rPr>
                <w:rtl w:val="0"/>
              </w:rPr>
            </w:r>
          </w:p>
        </w:tc>
        <w:tc>
          <w:tcPr/>
          <w:p w:rsidR="00000000" w:rsidDel="00000000" w:rsidP="00000000" w:rsidRDefault="00000000" w:rsidRPr="00000000" w14:paraId="00000123">
            <w:pPr>
              <w:tabs>
                <w:tab w:val="left" w:leader="none" w:pos="284"/>
                <w:tab w:val="left" w:leader="none" w:pos="567"/>
                <w:tab w:val="center" w:leader="none" w:pos="4252"/>
                <w:tab w:val="left" w:leader="none" w:pos="6700"/>
              </w:tabs>
              <w:spacing w:after="40" w:line="240" w:lineRule="auto"/>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Informe final y sustentación</w:t>
            </w:r>
            <w:r w:rsidDel="00000000" w:rsidR="00000000" w:rsidRPr="00000000">
              <w:rPr>
                <w:rtl w:val="0"/>
              </w:rPr>
            </w:r>
          </w:p>
        </w:tc>
        <w:tc>
          <w:tcPr/>
          <w:p w:rsidR="00000000" w:rsidDel="00000000" w:rsidP="00000000" w:rsidRDefault="00000000" w:rsidRPr="00000000" w14:paraId="00000124">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 semanas</w:t>
            </w:r>
          </w:p>
        </w:tc>
        <w:tc>
          <w:tcPr/>
          <w:p w:rsidR="00000000" w:rsidDel="00000000" w:rsidP="00000000" w:rsidRDefault="00000000" w:rsidRPr="00000000" w14:paraId="00000125">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16/11/2026</w:t>
            </w:r>
            <w:r w:rsidDel="00000000" w:rsidR="00000000" w:rsidRPr="00000000">
              <w:rPr>
                <w:rtl w:val="0"/>
              </w:rPr>
            </w:r>
          </w:p>
        </w:tc>
        <w:tc>
          <w:tcPr/>
          <w:p w:rsidR="00000000" w:rsidDel="00000000" w:rsidP="00000000" w:rsidRDefault="00000000" w:rsidRPr="00000000" w14:paraId="00000126">
            <w:pPr>
              <w:tabs>
                <w:tab w:val="left" w:leader="none" w:pos="284"/>
                <w:tab w:val="left" w:leader="none" w:pos="567"/>
                <w:tab w:val="center" w:leader="none" w:pos="4252"/>
                <w:tab w:val="left" w:leader="none" w:pos="6700"/>
              </w:tabs>
              <w:spacing w:after="40" w:line="24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highlight w:val="yellow"/>
                <w:rtl w:val="0"/>
              </w:rPr>
              <w:t xml:space="preserve">27/11/2026</w:t>
            </w:r>
            <w:r w:rsidDel="00000000" w:rsidR="00000000" w:rsidRPr="00000000">
              <w:rPr>
                <w:rtl w:val="0"/>
              </w:rPr>
            </w:r>
          </w:p>
        </w:tc>
      </w:tr>
    </w:tbl>
    <w:p w:rsidR="00000000" w:rsidDel="00000000" w:rsidP="00000000" w:rsidRDefault="00000000" w:rsidRPr="00000000" w14:paraId="00000127">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Las fechas corresponden a la planeación del periodo académico y deben ajustarse al calendario real del equipo.</w:t>
      </w:r>
    </w:p>
    <w:p w:rsidR="00000000" w:rsidDel="00000000" w:rsidP="00000000" w:rsidRDefault="00000000" w:rsidRPr="00000000" w14:paraId="00000128">
      <w:pPr>
        <w:keepNext w:val="1"/>
        <w:keepLines w:val="1"/>
        <w:pageBreakBefore w:val="1"/>
        <w:spacing w:after="80" w:before="360" w:line="480" w:lineRule="auto"/>
        <w:ind w:firstLine="284"/>
        <w:jc w:val="center"/>
        <w:rPr>
          <w:rFonts w:ascii="Times New Roman" w:cs="Times New Roman" w:eastAsia="Times New Roman" w:hAnsi="Times New Roman"/>
          <w:b w:val="1"/>
          <w:bCs w:val="1"/>
          <w:sz w:val="24"/>
          <w:szCs w:val="24"/>
        </w:rPr>
      </w:pPr>
      <w:bookmarkStart w:colFirst="0" w:colLast="0" w:name="_heading=h.3o5vm33a3cvu" w:id="27"/>
      <w:bookmarkEnd w:id="27"/>
      <w:r w:rsidDel="00000000" w:rsidR="00000000" w:rsidRPr="00000000">
        <w:rPr>
          <w:rFonts w:ascii="Times New Roman" w:cs="Times New Roman" w:eastAsia="Times New Roman" w:hAnsi="Times New Roman"/>
          <w:b w:val="1"/>
          <w:bCs w:val="1"/>
          <w:sz w:val="24"/>
          <w:szCs w:val="24"/>
          <w:rtl w:val="0"/>
        </w:rPr>
        <w:t xml:space="preserve">Capítulo IV</w:t>
      </w:r>
    </w:p>
    <w:p w:rsidR="00000000" w:rsidDel="00000000" w:rsidP="00000000" w:rsidRDefault="00000000" w:rsidRPr="00000000" w14:paraId="00000129">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8nsh4dotgc52" w:id="28"/>
      <w:bookmarkEnd w:id="28"/>
      <w:r w:rsidDel="00000000" w:rsidR="00000000" w:rsidRPr="00000000">
        <w:rPr>
          <w:rFonts w:ascii="Times New Roman" w:cs="Times New Roman" w:eastAsia="Times New Roman" w:hAnsi="Times New Roman"/>
          <w:b w:val="1"/>
          <w:bCs w:val="1"/>
          <w:sz w:val="24"/>
          <w:szCs w:val="24"/>
          <w:rtl w:val="0"/>
        </w:rPr>
        <w:t xml:space="preserve">4. Resultados</w:t>
      </w:r>
    </w:p>
    <w:p w:rsidR="00000000" w:rsidDel="00000000" w:rsidP="00000000" w:rsidRDefault="00000000" w:rsidRPr="00000000" w14:paraId="0000012A">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análisis se identificó que la donación no debía modelarse como una sola entidad, sino como dos agregados con invariantes propios —Fund para el dinero y PhysicalAsset para los recursos físicos— unidos por consistencia eventual, mientras la donación que ve el usuario es una proyección de lectura. Este hallazgo, junto con las reglas de privacidad, quedó registrado en el catálogo de ADR, que a la fecha comprende los registros ADR-001 a ADR-042.</w:t>
      </w:r>
    </w:p>
    <w:p w:rsidR="00000000" w:rsidDel="00000000" w:rsidP="00000000" w:rsidRDefault="00000000" w:rsidRPr="00000000" w14:paraId="0000012B">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codificación, las fases 1 a 5 se encuentran cerradas: el motor cuenta con Event Store en MongoDB con control de concurrencia optimista, encadenamiento criptográfico con JCS y SHA-256, árboles de Merkle con anclaje mediante Web3j, proyecciones CQRS, generación de narrativas con Spring AI, tres endpoints públicos de consulta protegidos por código de seguimiento y un módulo de identidad y organizaciones.</w:t>
      </w:r>
    </w:p>
    <w:p w:rsidR="00000000" w:rsidDel="00000000" w:rsidP="00000000" w:rsidRDefault="00000000" w:rsidRPr="00000000" w14:paraId="0000012C">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verificación, el reactor completo de siete módulos se ejecutó en verde. El módulo identity registró 66 pruebas en verde; el módulo crypto, tras la incorporación del productor de lotes Merkle, registró 43 pruebas, 0 fallos y 0 errores contra contenedores reales de MongoDB y Ganache; y la prueba de transacción multicolección registró 2 pruebas, 0 fallos y 0 errores. Durante el proceso se rechazó un reporte de éxito basado en una compilación con las pruebas omitidas, lo que confirma la utilidad de la regla de evidencia real.</w:t>
      </w:r>
    </w:p>
    <w:p w:rsidR="00000000" w:rsidDel="00000000" w:rsidP="00000000" w:rsidRDefault="00000000" w:rsidRPr="00000000" w14:paraId="0000012D">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Fase 6, en curso, se aprobaron los diseños de convocatoria, identidad, verificación de integridad, IA y API con frontend (ADR-037 a ADR-041), y se implementó el productor de lotes Merkle. El escenario demostrativo aún no se ejecuta de extremo a extremo, pues faltan los endpoints de escritura, el puerto de verificación de integridad y la confirmación de idempotencia del registro de fondos ante reintentos.</w:t>
      </w:r>
    </w:p>
    <w:p w:rsidR="00000000" w:rsidDel="00000000" w:rsidP="00000000" w:rsidRDefault="00000000" w:rsidRPr="00000000" w14:paraId="0000012E">
      <w:pPr>
        <w:keepNext w:val="1"/>
        <w:keepLines w:val="1"/>
        <w:spacing w:after="80" w:before="160" w:line="480" w:lineRule="auto"/>
        <w:ind w:firstLine="284"/>
        <w:rPr>
          <w:rFonts w:ascii="Times New Roman" w:cs="Times New Roman" w:eastAsia="Times New Roman" w:hAnsi="Times New Roman"/>
          <w:b w:val="1"/>
          <w:bCs w:val="1"/>
          <w:sz w:val="24"/>
          <w:szCs w:val="24"/>
        </w:rPr>
      </w:pPr>
      <w:bookmarkStart w:colFirst="0" w:colLast="0" w:name="_heading=h.2q13kz6rvkfr" w:id="29"/>
      <w:bookmarkEnd w:id="29"/>
      <w:r w:rsidDel="00000000" w:rsidR="00000000" w:rsidRPr="00000000">
        <w:rPr>
          <w:rFonts w:ascii="Times New Roman" w:cs="Times New Roman" w:eastAsia="Times New Roman" w:hAnsi="Times New Roman"/>
          <w:b w:val="1"/>
          <w:bCs w:val="1"/>
          <w:sz w:val="24"/>
          <w:szCs w:val="24"/>
          <w:rtl w:val="0"/>
        </w:rPr>
        <w:t xml:space="preserve">4.1 Conclusiones</w:t>
      </w:r>
    </w:p>
    <w:p w:rsidR="00000000" w:rsidDel="00000000" w:rsidP="00000000" w:rsidRDefault="00000000" w:rsidRPr="00000000" w14:paraId="0000012F">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al primer objetivo, el análisis del dominio demostró que la trazabilidad exige separar el flujo financiero del físico y conservar cada hecho como evento, y que la normativa colombiana obliga a excluir los datos personales de toda información pública o anclada.</w:t>
      </w:r>
    </w:p>
    <w:p w:rsidR="00000000" w:rsidDel="00000000" w:rsidP="00000000" w:rsidRDefault="00000000" w:rsidRPr="00000000" w14:paraId="00000130">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al segundo, el diseño como monolito modular con Event Sourcing, CQRS y puertos y adaptadores, documentado en ADR, permitió tomar decisiones explícitas y trazables, y evitar infraestructura innecesaria.</w:t>
      </w:r>
    </w:p>
    <w:p w:rsidR="00000000" w:rsidDel="00000000" w:rsidP="00000000" w:rsidRDefault="00000000" w:rsidRPr="00000000" w14:paraId="00000131">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al tercero y al cuarto, el motor se codificó y verificó en sus fases 1 a 5 con evidencia de ejecución real, lo que demuestra que es viable construir un registro de donaciones inalterable y verificable sin exponer datos personales ni obligar al donante a usar billeteras criptográficas.</w:t>
      </w:r>
    </w:p>
    <w:p w:rsidR="00000000" w:rsidDel="00000000" w:rsidP="00000000" w:rsidRDefault="00000000" w:rsidRPr="00000000" w14:paraId="00000132">
      <w:pPr>
        <w:spacing w:after="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al quinto, la implementación del escenario demostrativo sigue en curso; su cierre depende de los endpoints de escritura y de la verificación de integridad contra la raíz anclada. Como trabajo futuro se propone completar esos componentes, poblar las ubicaciones operativas y evaluar el sistema con una fundación real.</w:t>
      </w:r>
    </w:p>
    <w:p w:rsidR="00000000" w:rsidDel="00000000" w:rsidP="00000000" w:rsidRDefault="00000000" w:rsidRPr="00000000" w14:paraId="00000133">
      <w:pPr>
        <w:keepNext w:val="1"/>
        <w:keepLines w:val="1"/>
        <w:pageBreakBefore w:val="1"/>
        <w:spacing w:after="80" w:before="160" w:line="480" w:lineRule="auto"/>
        <w:ind w:firstLine="284"/>
        <w:jc w:val="center"/>
        <w:rPr>
          <w:rFonts w:ascii="Times New Roman" w:cs="Times New Roman" w:eastAsia="Times New Roman" w:hAnsi="Times New Roman"/>
          <w:b w:val="1"/>
          <w:bCs w:val="1"/>
          <w:sz w:val="24"/>
          <w:szCs w:val="24"/>
        </w:rPr>
      </w:pPr>
      <w:bookmarkStart w:colFirst="0" w:colLast="0" w:name="_heading=h.flgru1oacecc" w:id="30"/>
      <w:bookmarkEnd w:id="30"/>
      <w:r w:rsidDel="00000000" w:rsidR="00000000" w:rsidRPr="00000000">
        <w:rPr>
          <w:rFonts w:ascii="Times New Roman" w:cs="Times New Roman" w:eastAsia="Times New Roman" w:hAnsi="Times New Roman"/>
          <w:b w:val="1"/>
          <w:bCs w:val="1"/>
          <w:sz w:val="24"/>
          <w:szCs w:val="24"/>
          <w:rtl w:val="0"/>
        </w:rPr>
        <w:t xml:space="preserve">Referencias bibliográficas</w:t>
      </w:r>
    </w:p>
    <w:p w:rsidR="00000000" w:rsidDel="00000000" w:rsidP="00000000" w:rsidRDefault="00000000" w:rsidRPr="00000000" w14:paraId="00000134">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Anthropic. (2026). </w:t>
      </w:r>
      <w:r w:rsidDel="00000000" w:rsidR="00000000" w:rsidRPr="00000000">
        <w:rPr>
          <w:rFonts w:ascii="Times New Roman" w:cs="Times New Roman" w:eastAsia="Times New Roman" w:hAnsi="Times New Roman"/>
          <w:i w:val="1"/>
          <w:iCs w:val="1"/>
          <w:color w:val="000000"/>
          <w:sz w:val="24"/>
          <w:szCs w:val="24"/>
          <w:rtl w:val="0"/>
        </w:rPr>
        <w:t xml:space="preserve">Claude</w:t>
      </w:r>
      <w:r w:rsidDel="00000000" w:rsidR="00000000" w:rsidRPr="00000000">
        <w:rPr>
          <w:rFonts w:ascii="Times New Roman" w:cs="Times New Roman" w:eastAsia="Times New Roman" w:hAnsi="Times New Roman"/>
          <w:color w:val="000000"/>
          <w:sz w:val="24"/>
          <w:szCs w:val="24"/>
          <w:rtl w:val="0"/>
        </w:rPr>
        <w:t xml:space="preserve"> (versión Opus 5.5) [Modelo de lenguaje de gran tamaño]. https://claude.ai</w:t>
      </w:r>
    </w:p>
    <w:p w:rsidR="00000000" w:rsidDel="00000000" w:rsidP="00000000" w:rsidRDefault="00000000" w:rsidRPr="00000000" w14:paraId="00000135">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Benavides Samboní, L. M., Echeverry Rosas, I., Martínez Muñoz, L. A., &amp; Torres Rodríguez, J. S. (2023). </w:t>
      </w:r>
      <w:r w:rsidDel="00000000" w:rsidR="00000000" w:rsidRPr="00000000">
        <w:rPr>
          <w:rFonts w:ascii="Times New Roman" w:cs="Times New Roman" w:eastAsia="Times New Roman" w:hAnsi="Times New Roman"/>
          <w:i w:val="1"/>
          <w:iCs w:val="1"/>
          <w:color w:val="000000"/>
          <w:sz w:val="24"/>
          <w:szCs w:val="24"/>
          <w:rtl w:val="0"/>
        </w:rPr>
        <w:t xml:space="preserve">Diseño del proceso de planeación de rutas de recolección de donaciones del BAC</w:t>
      </w:r>
      <w:r w:rsidDel="00000000" w:rsidR="00000000" w:rsidRPr="00000000">
        <w:rPr>
          <w:rFonts w:ascii="Times New Roman" w:cs="Times New Roman" w:eastAsia="Times New Roman" w:hAnsi="Times New Roman"/>
          <w:color w:val="000000"/>
          <w:sz w:val="24"/>
          <w:szCs w:val="24"/>
          <w:rtl w:val="0"/>
        </w:rPr>
        <w:t xml:space="preserve"> [Trabajo de grado, Pontificia Universidad Javeriana Cali]. Repositorio Vitela. https://vitela.javerianacali.edu.co/items/098da6a7-328e-4d15-baaa-8cacc657c9c6</w:t>
      </w:r>
    </w:p>
    <w:p w:rsidR="00000000" w:rsidDel="00000000" w:rsidP="00000000" w:rsidRDefault="00000000" w:rsidRPr="00000000" w14:paraId="00000136">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Charities Aid Foundation. (2025). </w:t>
      </w:r>
      <w:r w:rsidDel="00000000" w:rsidR="00000000" w:rsidRPr="00000000">
        <w:rPr>
          <w:rFonts w:ascii="Times New Roman" w:cs="Times New Roman" w:eastAsia="Times New Roman" w:hAnsi="Times New Roman"/>
          <w:i w:val="1"/>
          <w:iCs w:val="1"/>
          <w:color w:val="000000"/>
          <w:sz w:val="24"/>
          <w:szCs w:val="24"/>
          <w:rtl w:val="0"/>
        </w:rPr>
        <w:t xml:space="preserve">World Giving Report 2025: Colombia</w:t>
      </w:r>
      <w:r w:rsidDel="00000000" w:rsidR="00000000" w:rsidRPr="00000000">
        <w:rPr>
          <w:rFonts w:ascii="Times New Roman" w:cs="Times New Roman" w:eastAsia="Times New Roman" w:hAnsi="Times New Roman"/>
          <w:color w:val="000000"/>
          <w:sz w:val="24"/>
          <w:szCs w:val="24"/>
          <w:rtl w:val="0"/>
        </w:rPr>
        <w:t xml:space="preserve">. Recuperado el 1 de octubre de 2026, de https://worldgivingreport.org/partners/colombia</w:t>
      </w:r>
    </w:p>
    <w:p w:rsidR="00000000" w:rsidDel="00000000" w:rsidP="00000000" w:rsidRDefault="00000000" w:rsidRPr="00000000" w14:paraId="00000137">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Cockburn, A. (2005). </w:t>
      </w:r>
      <w:r w:rsidDel="00000000" w:rsidR="00000000" w:rsidRPr="00000000">
        <w:rPr>
          <w:rFonts w:ascii="Times New Roman" w:cs="Times New Roman" w:eastAsia="Times New Roman" w:hAnsi="Times New Roman"/>
          <w:i w:val="1"/>
          <w:iCs w:val="1"/>
          <w:color w:val="000000"/>
          <w:sz w:val="24"/>
          <w:szCs w:val="24"/>
          <w:rtl w:val="0"/>
        </w:rPr>
        <w:t xml:space="preserve">Hexagonal architecture</w:t>
      </w:r>
      <w:r w:rsidDel="00000000" w:rsidR="00000000" w:rsidRPr="00000000">
        <w:rPr>
          <w:rFonts w:ascii="Times New Roman" w:cs="Times New Roman" w:eastAsia="Times New Roman" w:hAnsi="Times New Roman"/>
          <w:color w:val="000000"/>
          <w:sz w:val="24"/>
          <w:szCs w:val="24"/>
          <w:rtl w:val="0"/>
        </w:rPr>
        <w:t xml:space="preserve">. https://alistair.cockburn.us/hexagonal-architecture/</w:t>
      </w:r>
    </w:p>
    <w:p w:rsidR="00000000" w:rsidDel="00000000" w:rsidP="00000000" w:rsidRDefault="00000000" w:rsidRPr="00000000" w14:paraId="00000138">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Conexión Colombia. (2014, 6 de marzo). En Colombia confiamos en desconocidos, pero no en las ONG. </w:t>
      </w:r>
      <w:r w:rsidDel="00000000" w:rsidR="00000000" w:rsidRPr="00000000">
        <w:rPr>
          <w:rFonts w:ascii="Times New Roman" w:cs="Times New Roman" w:eastAsia="Times New Roman" w:hAnsi="Times New Roman"/>
          <w:i w:val="1"/>
          <w:iCs w:val="1"/>
          <w:color w:val="000000"/>
          <w:sz w:val="24"/>
          <w:szCs w:val="24"/>
          <w:rtl w:val="0"/>
        </w:rPr>
        <w:t xml:space="preserve">Semana</w:t>
      </w:r>
      <w:r w:rsidDel="00000000" w:rsidR="00000000" w:rsidRPr="00000000">
        <w:rPr>
          <w:rFonts w:ascii="Times New Roman" w:cs="Times New Roman" w:eastAsia="Times New Roman" w:hAnsi="Times New Roman"/>
          <w:color w:val="000000"/>
          <w:sz w:val="24"/>
          <w:szCs w:val="24"/>
          <w:rtl w:val="0"/>
        </w:rPr>
        <w:t xml:space="preserve">. https://www.semana.com/impacto/articulo/en-colombia-confiamos-desconocidos-pero-no-ong/30781/</w:t>
      </w:r>
    </w:p>
    <w:p w:rsidR="00000000" w:rsidDel="00000000" w:rsidP="00000000" w:rsidRDefault="00000000" w:rsidRPr="00000000" w14:paraId="00000139">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Constitución Política de Colombia [Const.]. (1991). Gaceta Constitucional n.º 116.</w:t>
      </w:r>
    </w:p>
    <w:p w:rsidR="00000000" w:rsidDel="00000000" w:rsidP="00000000" w:rsidRDefault="00000000" w:rsidRPr="00000000" w14:paraId="0000013A">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Decreto 1377 de 2013. (2013, 27 de junio). Ministerio de Comercio, Industria y Turismo. Por el cual se reglamenta parcialmente la Ley 1581 de 2012.</w:t>
      </w:r>
    </w:p>
    <w:p w:rsidR="00000000" w:rsidDel="00000000" w:rsidP="00000000" w:rsidRDefault="00000000" w:rsidRPr="00000000" w14:paraId="0000013B">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Decreto 2150 de 2017. (2017, 20 de diciembre). Ministerio de Hacienda y Crédito Público. Por medio del cual se reglamenta el régimen tributario especial de las entidades sin ánimo de lucro.</w:t>
      </w:r>
    </w:p>
    <w:p w:rsidR="00000000" w:rsidDel="00000000" w:rsidP="00000000" w:rsidRDefault="00000000" w:rsidRPr="00000000" w14:paraId="0000013C">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Evans, E. (2003). </w:t>
      </w:r>
      <w:r w:rsidDel="00000000" w:rsidR="00000000" w:rsidRPr="00000000">
        <w:rPr>
          <w:rFonts w:ascii="Times New Roman" w:cs="Times New Roman" w:eastAsia="Times New Roman" w:hAnsi="Times New Roman"/>
          <w:i w:val="1"/>
          <w:iCs w:val="1"/>
          <w:color w:val="000000"/>
          <w:sz w:val="24"/>
          <w:szCs w:val="24"/>
          <w:rtl w:val="0"/>
        </w:rPr>
        <w:t xml:space="preserve">Domain-driven design: Tackling complexity in the heart of software</w:t>
      </w:r>
      <w:r w:rsidDel="00000000" w:rsidR="00000000" w:rsidRPr="00000000">
        <w:rPr>
          <w:rFonts w:ascii="Times New Roman" w:cs="Times New Roman" w:eastAsia="Times New Roman" w:hAnsi="Times New Roman"/>
          <w:color w:val="000000"/>
          <w:sz w:val="24"/>
          <w:szCs w:val="24"/>
          <w:rtl w:val="0"/>
        </w:rPr>
        <w:t xml:space="preserve">. Addison-Wesley.</w:t>
      </w:r>
    </w:p>
    <w:p w:rsidR="00000000" w:rsidDel="00000000" w:rsidP="00000000" w:rsidRDefault="00000000" w:rsidRPr="00000000" w14:paraId="0000013D">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Fowler, M. (2005, 12 de diciembre). </w:t>
      </w:r>
      <w:r w:rsidDel="00000000" w:rsidR="00000000" w:rsidRPr="00000000">
        <w:rPr>
          <w:rFonts w:ascii="Times New Roman" w:cs="Times New Roman" w:eastAsia="Times New Roman" w:hAnsi="Times New Roman"/>
          <w:i w:val="1"/>
          <w:iCs w:val="1"/>
          <w:color w:val="000000"/>
          <w:sz w:val="24"/>
          <w:szCs w:val="24"/>
          <w:rtl w:val="0"/>
        </w:rPr>
        <w:t xml:space="preserve">Event sourcing</w:t>
      </w:r>
      <w:r w:rsidDel="00000000" w:rsidR="00000000" w:rsidRPr="00000000">
        <w:rPr>
          <w:rFonts w:ascii="Times New Roman" w:cs="Times New Roman" w:eastAsia="Times New Roman" w:hAnsi="Times New Roman"/>
          <w:color w:val="000000"/>
          <w:sz w:val="24"/>
          <w:szCs w:val="24"/>
          <w:rtl w:val="0"/>
        </w:rPr>
        <w:t xml:space="preserve">. martinfowler.com. https://martinfowler.com/eaaDev/EventSourcing.html</w:t>
      </w:r>
    </w:p>
    <w:p w:rsidR="00000000" w:rsidDel="00000000" w:rsidP="00000000" w:rsidRDefault="00000000" w:rsidRPr="00000000" w14:paraId="0000013E">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Garcia-Molina, H., &amp; Salem, K. (1987). Sagas. </w:t>
      </w:r>
      <w:r w:rsidDel="00000000" w:rsidR="00000000" w:rsidRPr="00000000">
        <w:rPr>
          <w:rFonts w:ascii="Times New Roman" w:cs="Times New Roman" w:eastAsia="Times New Roman" w:hAnsi="Times New Roman"/>
          <w:i w:val="1"/>
          <w:iCs w:val="1"/>
          <w:color w:val="000000"/>
          <w:sz w:val="24"/>
          <w:szCs w:val="24"/>
          <w:rtl w:val="0"/>
        </w:rPr>
        <w:t xml:space="preserve">ACM SIGMOD Record, 16</w:t>
      </w:r>
      <w:r w:rsidDel="00000000" w:rsidR="00000000" w:rsidRPr="00000000">
        <w:rPr>
          <w:rFonts w:ascii="Times New Roman" w:cs="Times New Roman" w:eastAsia="Times New Roman" w:hAnsi="Times New Roman"/>
          <w:color w:val="000000"/>
          <w:sz w:val="24"/>
          <w:szCs w:val="24"/>
          <w:rtl w:val="0"/>
        </w:rPr>
        <w:t xml:space="preserve">(3), 249–259. https://doi.org/10.1145/38714.38742</w:t>
      </w:r>
    </w:p>
    <w:p w:rsidR="00000000" w:rsidDel="00000000" w:rsidP="00000000" w:rsidRDefault="00000000" w:rsidRPr="00000000" w14:paraId="0000013F">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Hernández Sampieri, R., Fernández Collado, C., &amp; Baptista Lucio, P. (2014). </w:t>
      </w:r>
      <w:r w:rsidDel="00000000" w:rsidR="00000000" w:rsidRPr="00000000">
        <w:rPr>
          <w:rFonts w:ascii="Times New Roman" w:cs="Times New Roman" w:eastAsia="Times New Roman" w:hAnsi="Times New Roman"/>
          <w:i w:val="1"/>
          <w:iCs w:val="1"/>
          <w:color w:val="000000"/>
          <w:sz w:val="24"/>
          <w:szCs w:val="24"/>
          <w:rtl w:val="0"/>
        </w:rPr>
        <w:t xml:space="preserve">Metodología de la investigación</w:t>
      </w:r>
      <w:r w:rsidDel="00000000" w:rsidR="00000000" w:rsidRPr="00000000">
        <w:rPr>
          <w:rFonts w:ascii="Times New Roman" w:cs="Times New Roman" w:eastAsia="Times New Roman" w:hAnsi="Times New Roman"/>
          <w:color w:val="000000"/>
          <w:sz w:val="24"/>
          <w:szCs w:val="24"/>
          <w:rtl w:val="0"/>
        </w:rPr>
        <w:t xml:space="preserve"> (6.ª ed.). McGraw-Hill.</w:t>
      </w:r>
    </w:p>
    <w:p w:rsidR="00000000" w:rsidDel="00000000" w:rsidP="00000000" w:rsidRDefault="00000000" w:rsidRPr="00000000" w14:paraId="00000140">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 Z., Lee, N., Frieske, R., Yu, T., Su, D., Xu, Y., Ishii, E., Bang, Y. J., Madotto, A., &amp; Fung, P. (2023). Survey of hallucination in natural language generation. </w:t>
      </w:r>
      <w:r w:rsidDel="00000000" w:rsidR="00000000" w:rsidRPr="00000000">
        <w:rPr>
          <w:rFonts w:ascii="Times New Roman" w:cs="Times New Roman" w:eastAsia="Times New Roman" w:hAnsi="Times New Roman"/>
          <w:i w:val="1"/>
          <w:iCs w:val="1"/>
          <w:color w:val="000000"/>
          <w:sz w:val="24"/>
          <w:szCs w:val="24"/>
          <w:rtl w:val="0"/>
        </w:rPr>
        <w:t xml:space="preserve">ACM Computing Surveys, 55</w:t>
      </w:r>
      <w:r w:rsidDel="00000000" w:rsidR="00000000" w:rsidRPr="00000000">
        <w:rPr>
          <w:rFonts w:ascii="Times New Roman" w:cs="Times New Roman" w:eastAsia="Times New Roman" w:hAnsi="Times New Roman"/>
          <w:color w:val="000000"/>
          <w:sz w:val="24"/>
          <w:szCs w:val="24"/>
          <w:rtl w:val="0"/>
        </w:rPr>
        <w:t xml:space="preserve">(12), Artículo 248. https://doi.org/10.1145/3571730</w:t>
      </w:r>
    </w:p>
    <w:p w:rsidR="00000000" w:rsidDel="00000000" w:rsidP="00000000" w:rsidRDefault="00000000" w:rsidRPr="00000000" w14:paraId="00000141">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Ley 527 de 1999. (1999, 18 de agosto). Congreso de la República de Colombia. Diario Oficial n.º 43.673.</w:t>
      </w:r>
    </w:p>
    <w:p w:rsidR="00000000" w:rsidDel="00000000" w:rsidP="00000000" w:rsidRDefault="00000000" w:rsidRPr="00000000" w14:paraId="00000142">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Ley 1273 de 2009. (2009, 5 de enero). Congreso de la República de Colombia. Diario Oficial n.º 47.223.</w:t>
      </w:r>
    </w:p>
    <w:p w:rsidR="00000000" w:rsidDel="00000000" w:rsidP="00000000" w:rsidRDefault="00000000" w:rsidRPr="00000000" w14:paraId="00000143">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Ley Estatutaria 1581 de 2012. (2012, 17 de octubre). Congreso de la República de Colombia. Diario Oficial n.º 48.587.</w:t>
      </w:r>
    </w:p>
    <w:p w:rsidR="00000000" w:rsidDel="00000000" w:rsidP="00000000" w:rsidRDefault="00000000" w:rsidRPr="00000000" w14:paraId="00000144">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Ley 1819 de 2016. (2016, 29 de diciembre). Congreso de la República de Colombia. Diario Oficial n.º 50.101.</w:t>
      </w:r>
    </w:p>
    <w:p w:rsidR="00000000" w:rsidDel="00000000" w:rsidP="00000000" w:rsidRDefault="00000000" w:rsidRPr="00000000" w14:paraId="00000145">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Ley 2195 de 2022. (2022, 18 de enero). Congreso de la República de Colombia. Diario Oficial n.º 51.921.</w:t>
      </w:r>
    </w:p>
    <w:p w:rsidR="00000000" w:rsidDel="00000000" w:rsidP="00000000" w:rsidRDefault="00000000" w:rsidRPr="00000000" w14:paraId="00000146">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Martínez Luna, L. A. (2022). </w:t>
      </w:r>
      <w:r w:rsidDel="00000000" w:rsidR="00000000" w:rsidRPr="00000000">
        <w:rPr>
          <w:rFonts w:ascii="Times New Roman" w:cs="Times New Roman" w:eastAsia="Times New Roman" w:hAnsi="Times New Roman"/>
          <w:i w:val="1"/>
          <w:iCs w:val="1"/>
          <w:color w:val="000000"/>
          <w:sz w:val="24"/>
          <w:szCs w:val="24"/>
          <w:rtl w:val="0"/>
        </w:rPr>
        <w:t xml:space="preserve">Sistema de gestión de donaciones de ONGs con la tecnología blockchain</w:t>
      </w:r>
      <w:r w:rsidDel="00000000" w:rsidR="00000000" w:rsidRPr="00000000">
        <w:rPr>
          <w:rFonts w:ascii="Times New Roman" w:cs="Times New Roman" w:eastAsia="Times New Roman" w:hAnsi="Times New Roman"/>
          <w:color w:val="000000"/>
          <w:sz w:val="24"/>
          <w:szCs w:val="24"/>
          <w:rtl w:val="0"/>
        </w:rPr>
        <w:t xml:space="preserve"> [Trabajo fin de grado, Universidad Pontificia Comillas]. Repositorio Comillas. https://repositorio.comillas.edu/xmlui/handle/11531/61028</w:t>
      </w:r>
    </w:p>
    <w:p w:rsidR="00000000" w:rsidDel="00000000" w:rsidP="00000000" w:rsidRDefault="00000000" w:rsidRPr="00000000" w14:paraId="00000147">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Merkle, R. C. (1988). A digital signature based on a conventional encryption function. En C. Pomerance (Ed.), </w:t>
      </w:r>
      <w:r w:rsidDel="00000000" w:rsidR="00000000" w:rsidRPr="00000000">
        <w:rPr>
          <w:rFonts w:ascii="Times New Roman" w:cs="Times New Roman" w:eastAsia="Times New Roman" w:hAnsi="Times New Roman"/>
          <w:i w:val="1"/>
          <w:iCs w:val="1"/>
          <w:color w:val="000000"/>
          <w:sz w:val="24"/>
          <w:szCs w:val="24"/>
          <w:rtl w:val="0"/>
        </w:rPr>
        <w:t xml:space="preserve">Advances in Cryptology — CRYPTO ’87</w:t>
      </w:r>
      <w:r w:rsidDel="00000000" w:rsidR="00000000" w:rsidRPr="00000000">
        <w:rPr>
          <w:rFonts w:ascii="Times New Roman" w:cs="Times New Roman" w:eastAsia="Times New Roman" w:hAnsi="Times New Roman"/>
          <w:color w:val="000000"/>
          <w:sz w:val="24"/>
          <w:szCs w:val="24"/>
          <w:rtl w:val="0"/>
        </w:rPr>
        <w:t xml:space="preserve"> (pp. 369–378). Springer. https://doi.org/10.1007/3-540-48184-2_32</w:t>
      </w:r>
    </w:p>
    <w:p w:rsidR="00000000" w:rsidDel="00000000" w:rsidP="00000000" w:rsidRDefault="00000000" w:rsidRPr="00000000" w14:paraId="00000148">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Nakamoto, S. (2008). </w:t>
      </w:r>
      <w:r w:rsidDel="00000000" w:rsidR="00000000" w:rsidRPr="00000000">
        <w:rPr>
          <w:rFonts w:ascii="Times New Roman" w:cs="Times New Roman" w:eastAsia="Times New Roman" w:hAnsi="Times New Roman"/>
          <w:i w:val="1"/>
          <w:iCs w:val="1"/>
          <w:color w:val="000000"/>
          <w:sz w:val="24"/>
          <w:szCs w:val="24"/>
          <w:rtl w:val="0"/>
        </w:rPr>
        <w:t xml:space="preserve">Bitcoin: A peer-to-peer electronic cash system</w:t>
      </w:r>
      <w:r w:rsidDel="00000000" w:rsidR="00000000" w:rsidRPr="00000000">
        <w:rPr>
          <w:rFonts w:ascii="Times New Roman" w:cs="Times New Roman" w:eastAsia="Times New Roman" w:hAnsi="Times New Roman"/>
          <w:color w:val="000000"/>
          <w:sz w:val="24"/>
          <w:szCs w:val="24"/>
          <w:rtl w:val="0"/>
        </w:rPr>
        <w:t xml:space="preserve">. https://bitcoin.org/bitcoin.pdf</w:t>
      </w:r>
    </w:p>
    <w:p w:rsidR="00000000" w:rsidDel="00000000" w:rsidP="00000000" w:rsidRDefault="00000000" w:rsidRPr="00000000" w14:paraId="00000149">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National Institute of Standards and Technology. (2015). </w:t>
      </w:r>
      <w:r w:rsidDel="00000000" w:rsidR="00000000" w:rsidRPr="00000000">
        <w:rPr>
          <w:rFonts w:ascii="Times New Roman" w:cs="Times New Roman" w:eastAsia="Times New Roman" w:hAnsi="Times New Roman"/>
          <w:i w:val="1"/>
          <w:iCs w:val="1"/>
          <w:color w:val="000000"/>
          <w:sz w:val="24"/>
          <w:szCs w:val="24"/>
          <w:rtl w:val="0"/>
        </w:rPr>
        <w:t xml:space="preserve">Secure Hash Standard (SHS)</w:t>
      </w:r>
      <w:r w:rsidDel="00000000" w:rsidR="00000000" w:rsidRPr="00000000">
        <w:rPr>
          <w:rFonts w:ascii="Times New Roman" w:cs="Times New Roman" w:eastAsia="Times New Roman" w:hAnsi="Times New Roman"/>
          <w:color w:val="000000"/>
          <w:sz w:val="24"/>
          <w:szCs w:val="24"/>
          <w:rtl w:val="0"/>
        </w:rPr>
        <w:t xml:space="preserve"> (FIPS PUB 180-4). https://doi.org/10.6028/NIST.FIPS.180-4</w:t>
      </w:r>
    </w:p>
    <w:p w:rsidR="00000000" w:rsidDel="00000000" w:rsidP="00000000" w:rsidRDefault="00000000" w:rsidRPr="00000000" w14:paraId="0000014A">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Organización de las Naciones Unidas. (1948). </w:t>
      </w:r>
      <w:r w:rsidDel="00000000" w:rsidR="00000000" w:rsidRPr="00000000">
        <w:rPr>
          <w:rFonts w:ascii="Times New Roman" w:cs="Times New Roman" w:eastAsia="Times New Roman" w:hAnsi="Times New Roman"/>
          <w:i w:val="1"/>
          <w:iCs w:val="1"/>
          <w:color w:val="000000"/>
          <w:sz w:val="24"/>
          <w:szCs w:val="24"/>
          <w:rtl w:val="0"/>
        </w:rPr>
        <w:t xml:space="preserve">Declaración Universal de los Derechos Humanos</w:t>
      </w:r>
      <w:r w:rsidDel="00000000" w:rsidR="00000000" w:rsidRPr="00000000">
        <w:rPr>
          <w:rFonts w:ascii="Times New Roman" w:cs="Times New Roman" w:eastAsia="Times New Roman" w:hAnsi="Times New Roman"/>
          <w:color w:val="000000"/>
          <w:sz w:val="24"/>
          <w:szCs w:val="24"/>
          <w:rtl w:val="0"/>
        </w:rPr>
        <w:t xml:space="preserve">. https://www.un.org/es/about-us/universal-declaration-of-human-rights</w:t>
      </w:r>
    </w:p>
    <w:p w:rsidR="00000000" w:rsidDel="00000000" w:rsidP="00000000" w:rsidRDefault="00000000" w:rsidRPr="00000000" w14:paraId="0000014B">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Organización de las Naciones Unidas. (2015). </w:t>
      </w:r>
      <w:r w:rsidDel="00000000" w:rsidR="00000000" w:rsidRPr="00000000">
        <w:rPr>
          <w:rFonts w:ascii="Times New Roman" w:cs="Times New Roman" w:eastAsia="Times New Roman" w:hAnsi="Times New Roman"/>
          <w:i w:val="1"/>
          <w:iCs w:val="1"/>
          <w:color w:val="000000"/>
          <w:sz w:val="24"/>
          <w:szCs w:val="24"/>
          <w:rtl w:val="0"/>
        </w:rPr>
        <w:t xml:space="preserve">Transformar nuestro mundo: la Agenda 2030 para el Desarrollo Sostenible</w:t>
      </w:r>
      <w:r w:rsidDel="00000000" w:rsidR="00000000" w:rsidRPr="00000000">
        <w:rPr>
          <w:rFonts w:ascii="Times New Roman" w:cs="Times New Roman" w:eastAsia="Times New Roman" w:hAnsi="Times New Roman"/>
          <w:color w:val="000000"/>
          <w:sz w:val="24"/>
          <w:szCs w:val="24"/>
          <w:rtl w:val="0"/>
        </w:rPr>
        <w:t xml:space="preserve"> (A/RES/70/1). https://www.un.org/es/ga/70/resolutions.shtml</w:t>
      </w:r>
    </w:p>
    <w:p w:rsidR="00000000" w:rsidDel="00000000" w:rsidP="00000000" w:rsidRDefault="00000000" w:rsidRPr="00000000" w14:paraId="0000014C">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Reglamento (UE) 2016/679. (2016, 27 de abril). Parlamento Europeo y Consejo de la Unión Europea. Reglamento general de protección de datos. </w:t>
      </w:r>
      <w:r w:rsidDel="00000000" w:rsidR="00000000" w:rsidRPr="00000000">
        <w:rPr>
          <w:rFonts w:ascii="Times New Roman" w:cs="Times New Roman" w:eastAsia="Times New Roman" w:hAnsi="Times New Roman"/>
          <w:i w:val="1"/>
          <w:iCs w:val="1"/>
          <w:color w:val="000000"/>
          <w:sz w:val="24"/>
          <w:szCs w:val="24"/>
          <w:rtl w:val="0"/>
        </w:rPr>
        <w:t xml:space="preserve">Diario Oficial de la Unión Europea</w:t>
      </w:r>
      <w:r w:rsidDel="00000000" w:rsidR="00000000" w:rsidRPr="00000000">
        <w:rPr>
          <w:rFonts w:ascii="Times New Roman" w:cs="Times New Roman" w:eastAsia="Times New Roman" w:hAnsi="Times New Roman"/>
          <w:color w:val="000000"/>
          <w:sz w:val="24"/>
          <w:szCs w:val="24"/>
          <w:rtl w:val="0"/>
        </w:rPr>
        <w:t xml:space="preserve">, L 119.</w:t>
      </w:r>
    </w:p>
    <w:p w:rsidR="00000000" w:rsidDel="00000000" w:rsidP="00000000" w:rsidRDefault="00000000" w:rsidRPr="00000000" w14:paraId="0000014D">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Richardson, C. (2018). </w:t>
      </w:r>
      <w:r w:rsidDel="00000000" w:rsidR="00000000" w:rsidRPr="00000000">
        <w:rPr>
          <w:rFonts w:ascii="Times New Roman" w:cs="Times New Roman" w:eastAsia="Times New Roman" w:hAnsi="Times New Roman"/>
          <w:i w:val="1"/>
          <w:iCs w:val="1"/>
          <w:color w:val="000000"/>
          <w:sz w:val="24"/>
          <w:szCs w:val="24"/>
          <w:rtl w:val="0"/>
        </w:rPr>
        <w:t xml:space="preserve">Microservices patterns: With examples in Java</w:t>
      </w:r>
      <w:r w:rsidDel="00000000" w:rsidR="00000000" w:rsidRPr="00000000">
        <w:rPr>
          <w:rFonts w:ascii="Times New Roman" w:cs="Times New Roman" w:eastAsia="Times New Roman" w:hAnsi="Times New Roman"/>
          <w:color w:val="000000"/>
          <w:sz w:val="24"/>
          <w:szCs w:val="24"/>
          <w:rtl w:val="0"/>
        </w:rPr>
        <w:t xml:space="preserve">. Manning.</w:t>
      </w:r>
    </w:p>
    <w:p w:rsidR="00000000" w:rsidDel="00000000" w:rsidP="00000000" w:rsidRDefault="00000000" w:rsidRPr="00000000" w14:paraId="0000014E">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Rozo Gallo, O. D. (2024). </w:t>
      </w:r>
      <w:r w:rsidDel="00000000" w:rsidR="00000000" w:rsidRPr="00000000">
        <w:rPr>
          <w:rFonts w:ascii="Times New Roman" w:cs="Times New Roman" w:eastAsia="Times New Roman" w:hAnsi="Times New Roman"/>
          <w:i w:val="1"/>
          <w:iCs w:val="1"/>
          <w:color w:val="000000"/>
          <w:sz w:val="24"/>
          <w:szCs w:val="24"/>
          <w:rtl w:val="0"/>
        </w:rPr>
        <w:t xml:space="preserve">La tecnología blockchain para el aseguramiento de la información de las historias clínicas en el sector salud en Colombia</w:t>
      </w:r>
      <w:r w:rsidDel="00000000" w:rsidR="00000000" w:rsidRPr="00000000">
        <w:rPr>
          <w:rFonts w:ascii="Times New Roman" w:cs="Times New Roman" w:eastAsia="Times New Roman" w:hAnsi="Times New Roman"/>
          <w:color w:val="000000"/>
          <w:sz w:val="24"/>
          <w:szCs w:val="24"/>
          <w:rtl w:val="0"/>
        </w:rPr>
        <w:t xml:space="preserve"> [Monografía de especialización, Universidad Nacional Abierta y a Distancia]. Repositorio UNAD. https://repository.unad.edu.co/handle/10596/63157</w:t>
      </w:r>
    </w:p>
    <w:p w:rsidR="00000000" w:rsidDel="00000000" w:rsidP="00000000" w:rsidRDefault="00000000" w:rsidRPr="00000000" w14:paraId="0000014F">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Rundgren, A., Jordan, B., &amp; Erdtman, S. (2020). </w:t>
      </w:r>
      <w:r w:rsidDel="00000000" w:rsidR="00000000" w:rsidRPr="00000000">
        <w:rPr>
          <w:rFonts w:ascii="Times New Roman" w:cs="Times New Roman" w:eastAsia="Times New Roman" w:hAnsi="Times New Roman"/>
          <w:i w:val="1"/>
          <w:iCs w:val="1"/>
          <w:color w:val="000000"/>
          <w:sz w:val="24"/>
          <w:szCs w:val="24"/>
          <w:rtl w:val="0"/>
        </w:rPr>
        <w:t xml:space="preserve">JSON Canonicalization Scheme (JCS)</w:t>
      </w:r>
      <w:r w:rsidDel="00000000" w:rsidR="00000000" w:rsidRPr="00000000">
        <w:rPr>
          <w:rFonts w:ascii="Times New Roman" w:cs="Times New Roman" w:eastAsia="Times New Roman" w:hAnsi="Times New Roman"/>
          <w:color w:val="000000"/>
          <w:sz w:val="24"/>
          <w:szCs w:val="24"/>
          <w:rtl w:val="0"/>
        </w:rPr>
        <w:t xml:space="preserve"> (RFC 8785). Internet Engineering Task Force. https://doi.org/10.17487/RFC8785</w:t>
      </w:r>
    </w:p>
    <w:p w:rsidR="00000000" w:rsidDel="00000000" w:rsidP="00000000" w:rsidRDefault="00000000" w:rsidRPr="00000000" w14:paraId="00000150">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Superintendencia de Industria y Comercio. (2015). </w:t>
      </w:r>
      <w:r w:rsidDel="00000000" w:rsidR="00000000" w:rsidRPr="00000000">
        <w:rPr>
          <w:rFonts w:ascii="Times New Roman" w:cs="Times New Roman" w:eastAsia="Times New Roman" w:hAnsi="Times New Roman"/>
          <w:i w:val="1"/>
          <w:iCs w:val="1"/>
          <w:color w:val="000000"/>
          <w:sz w:val="24"/>
          <w:szCs w:val="24"/>
          <w:rtl w:val="0"/>
        </w:rPr>
        <w:t xml:space="preserve">Circular Externa 002 de 2015</w:t>
      </w:r>
      <w:r w:rsidDel="00000000" w:rsidR="00000000" w:rsidRPr="00000000">
        <w:rPr>
          <w:rFonts w:ascii="Times New Roman" w:cs="Times New Roman" w:eastAsia="Times New Roman" w:hAnsi="Times New Roman"/>
          <w:color w:val="000000"/>
          <w:sz w:val="24"/>
          <w:szCs w:val="24"/>
          <w:rtl w:val="0"/>
        </w:rPr>
        <w:t xml:space="preserve">. Registro Nacional de Bases de Datos.</w:t>
      </w:r>
    </w:p>
    <w:p w:rsidR="00000000" w:rsidDel="00000000" w:rsidP="00000000" w:rsidRDefault="00000000" w:rsidRPr="00000000" w14:paraId="00000151">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Tardío Rubio, J. (2020). </w:t>
      </w:r>
      <w:r w:rsidDel="00000000" w:rsidR="00000000" w:rsidRPr="00000000">
        <w:rPr>
          <w:rFonts w:ascii="Times New Roman" w:cs="Times New Roman" w:eastAsia="Times New Roman" w:hAnsi="Times New Roman"/>
          <w:i w:val="1"/>
          <w:iCs w:val="1"/>
          <w:color w:val="000000"/>
          <w:sz w:val="24"/>
          <w:szCs w:val="24"/>
          <w:rtl w:val="0"/>
        </w:rPr>
        <w:t xml:space="preserve">Diseño e implementación de trazabilidad y confianza de un sistema de donaciones y voluntariado con incentivos</w:t>
      </w:r>
      <w:r w:rsidDel="00000000" w:rsidR="00000000" w:rsidRPr="00000000">
        <w:rPr>
          <w:rFonts w:ascii="Times New Roman" w:cs="Times New Roman" w:eastAsia="Times New Roman" w:hAnsi="Times New Roman"/>
          <w:color w:val="000000"/>
          <w:sz w:val="24"/>
          <w:szCs w:val="24"/>
          <w:rtl w:val="0"/>
        </w:rPr>
        <w:t xml:space="preserve"> [Trabajo fin de grado, Universidad Politécnica de Madrid]. Archivo Digital UPM. https://oa.upm.es/65447/</w:t>
      </w:r>
    </w:p>
    <w:p w:rsidR="00000000" w:rsidDel="00000000" w:rsidP="00000000" w:rsidRDefault="00000000" w:rsidRPr="00000000" w14:paraId="00000152">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Ugaz-Burga, C., Valverde-Grados, R., &amp; Cárdenas-Salas, D. (2021). Blockchain and smart contract for donation traceability. En </w:t>
      </w:r>
      <w:r w:rsidDel="00000000" w:rsidR="00000000" w:rsidRPr="00000000">
        <w:rPr>
          <w:rFonts w:ascii="Times New Roman" w:cs="Times New Roman" w:eastAsia="Times New Roman" w:hAnsi="Times New Roman"/>
          <w:i w:val="1"/>
          <w:iCs w:val="1"/>
          <w:color w:val="000000"/>
          <w:sz w:val="24"/>
          <w:szCs w:val="24"/>
          <w:rtl w:val="0"/>
        </w:rPr>
        <w:t xml:space="preserve">Proceedings of the 5th International Conference on Trends in Electronics and Informatics (ICOEI 2021)</w:t>
      </w:r>
      <w:r w:rsidDel="00000000" w:rsidR="00000000" w:rsidRPr="00000000">
        <w:rPr>
          <w:rFonts w:ascii="Times New Roman" w:cs="Times New Roman" w:eastAsia="Times New Roman" w:hAnsi="Times New Roman"/>
          <w:color w:val="000000"/>
          <w:sz w:val="24"/>
          <w:szCs w:val="24"/>
          <w:rtl w:val="0"/>
        </w:rPr>
        <w:t xml:space="preserve">. IEEE. https://cris.ulima.edu.pe/es/publications/blockchain-and-smart-contract-for-donation-traceability/</w:t>
      </w:r>
    </w:p>
    <w:p w:rsidR="00000000" w:rsidDel="00000000" w:rsidP="00000000" w:rsidRDefault="00000000" w:rsidRPr="00000000" w14:paraId="00000153">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yellow"/>
          <w:rtl w:val="0"/>
        </w:rPr>
        <w:t xml:space="preserve">Autor(es)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yellow"/>
          <w:rtl w:val="0"/>
        </w:rPr>
        <w:t xml:space="preserve">año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Diseño de una plataforma web de gestión y trazabilidad de donaciones de alimentos</w:t>
      </w:r>
      <w:r w:rsidDel="00000000" w:rsidR="00000000" w:rsidRPr="00000000">
        <w:rPr>
          <w:rFonts w:ascii="Times New Roman" w:cs="Times New Roman" w:eastAsia="Times New Roman" w:hAnsi="Times New Roman"/>
          <w:color w:val="000000"/>
          <w:sz w:val="24"/>
          <w:szCs w:val="24"/>
          <w:rtl w:val="0"/>
        </w:rPr>
        <w:t xml:space="preserve"> [Trabajo de grado, Universidad del Norte]. Repositorio Manglar. https://manglar.uninorte.edu.co/handle/10584/9508</w:t>
      </w:r>
    </w:p>
    <w:p w:rsidR="00000000" w:rsidDel="00000000" w:rsidP="00000000" w:rsidRDefault="00000000" w:rsidRPr="00000000" w14:paraId="00000154">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Villamarin Rodríguez, E. (2024). </w:t>
      </w:r>
      <w:r w:rsidDel="00000000" w:rsidR="00000000" w:rsidRPr="00000000">
        <w:rPr>
          <w:rFonts w:ascii="Times New Roman" w:cs="Times New Roman" w:eastAsia="Times New Roman" w:hAnsi="Times New Roman"/>
          <w:i w:val="1"/>
          <w:iCs w:val="1"/>
          <w:color w:val="000000"/>
          <w:sz w:val="24"/>
          <w:szCs w:val="24"/>
          <w:rtl w:val="0"/>
        </w:rPr>
        <w:t xml:space="preserve">Estrategias de implementación de tecnología blockchain para la trazabilidad y transparencia en las cadenas de suministro de exportaciones colombianas</w:t>
      </w:r>
      <w:r w:rsidDel="00000000" w:rsidR="00000000" w:rsidRPr="00000000">
        <w:rPr>
          <w:rFonts w:ascii="Times New Roman" w:cs="Times New Roman" w:eastAsia="Times New Roman" w:hAnsi="Times New Roman"/>
          <w:color w:val="000000"/>
          <w:sz w:val="24"/>
          <w:szCs w:val="24"/>
          <w:rtl w:val="0"/>
        </w:rPr>
        <w:t xml:space="preserve"> [Monografía de pregrado, Universidad Antonio Nariño]. https://cienciaabierta.uan.edu.co/Record/repositorio.uan.edu.co-123456789-12574</w:t>
      </w:r>
    </w:p>
    <w:p w:rsidR="00000000" w:rsidDel="00000000" w:rsidP="00000000" w:rsidRDefault="00000000" w:rsidRPr="00000000" w14:paraId="00000155">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Villar Gómez, R. (2018). </w:t>
      </w:r>
      <w:r w:rsidDel="00000000" w:rsidR="00000000" w:rsidRPr="00000000">
        <w:rPr>
          <w:rFonts w:ascii="Times New Roman" w:cs="Times New Roman" w:eastAsia="Times New Roman" w:hAnsi="Times New Roman"/>
          <w:i w:val="1"/>
          <w:iCs w:val="1"/>
          <w:color w:val="000000"/>
          <w:sz w:val="24"/>
          <w:szCs w:val="24"/>
          <w:rtl w:val="0"/>
        </w:rPr>
        <w:t xml:space="preserve">Las fundaciones en Colombia: características, tendencias, desafíos</w:t>
      </w:r>
      <w:r w:rsidDel="00000000" w:rsidR="00000000" w:rsidRPr="00000000">
        <w:rPr>
          <w:rFonts w:ascii="Times New Roman" w:cs="Times New Roman" w:eastAsia="Times New Roman" w:hAnsi="Times New Roman"/>
          <w:color w:val="000000"/>
          <w:sz w:val="24"/>
          <w:szCs w:val="24"/>
          <w:rtl w:val="0"/>
        </w:rPr>
        <w:t xml:space="preserve">. Asociación de Fundaciones Familiares y Empresariales. https://afecolombia.org/wp-content/uploads/2022/12/reporte-final-abril_1.pdf</w:t>
      </w:r>
    </w:p>
    <w:p w:rsidR="00000000" w:rsidDel="00000000" w:rsidP="00000000" w:rsidRDefault="00000000" w:rsidRPr="00000000" w14:paraId="00000156">
      <w:pPr>
        <w:spacing w:after="0" w:line="480" w:lineRule="auto"/>
        <w:ind w:left="720" w:hanging="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Young, G. (2010). </w:t>
      </w:r>
      <w:r w:rsidDel="00000000" w:rsidR="00000000" w:rsidRPr="00000000">
        <w:rPr>
          <w:rFonts w:ascii="Times New Roman" w:cs="Times New Roman" w:eastAsia="Times New Roman" w:hAnsi="Times New Roman"/>
          <w:i w:val="1"/>
          <w:iCs w:val="1"/>
          <w:color w:val="000000"/>
          <w:sz w:val="24"/>
          <w:szCs w:val="24"/>
          <w:rtl w:val="0"/>
        </w:rPr>
        <w:t xml:space="preserve">CQRS documents</w:t>
      </w:r>
      <w:r w:rsidDel="00000000" w:rsidR="00000000" w:rsidRPr="00000000">
        <w:rPr>
          <w:rFonts w:ascii="Times New Roman" w:cs="Times New Roman" w:eastAsia="Times New Roman" w:hAnsi="Times New Roman"/>
          <w:color w:val="000000"/>
          <w:sz w:val="24"/>
          <w:szCs w:val="24"/>
          <w:rtl w:val="0"/>
        </w:rPr>
        <w:t xml:space="preserve">. https://cqrs.files.wordpress.com/2010/11/cqrs_documents.pdf</w:t>
      </w:r>
    </w:p>
    <w:sectPr>
      <w:headerReference r:id="rId8" w:type="default"/>
      <w:footerReference r:id="rId9" w:type="default"/>
      <w:pgSz w:h="16838" w:w="11906" w:orient="portrait"/>
      <w:pgMar w:bottom="1417" w:top="1701"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00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-1080134</wp:posOffset>
          </wp:positionH>
          <wp:positionV relativeFrom="paragraph">
            <wp:posOffset>-10076896</wp:posOffset>
          </wp:positionV>
          <wp:extent cx="7886700" cy="765810"/>
          <wp:effectExtent b="0" l="0" r="0" t="0"/>
          <wp:wrapNone/>
          <wp:docPr id="53167422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86700" cy="76581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457200</wp:posOffset>
          </wp:positionH>
          <wp:positionV relativeFrom="page">
            <wp:posOffset>58419</wp:posOffset>
          </wp:positionV>
          <wp:extent cx="5076190" cy="1104265"/>
          <wp:effectExtent b="0" l="0" r="0" t="0"/>
          <wp:wrapTopAndBottom distB="0" distT="0"/>
          <wp:docPr descr="Logotipo&#10;&#10;El contenido generado por IA puede ser incorrecto." id="531674221" name="image1.png"/>
          <a:graphic>
            <a:graphicData uri="http://schemas.openxmlformats.org/drawingml/2006/picture">
              <pic:pic>
                <pic:nvPicPr>
                  <pic:cNvPr descr="Logotipo&#10;&#10;El contenido generado por IA puede ser incorrecto." id="0" name="image1.png"/>
                  <pic:cNvPicPr preferRelativeResize="0"/>
                </pic:nvPicPr>
                <pic:blipFill>
                  <a:blip r:embed="rId1"/>
                  <a:srcRect b="0" l="0" r="0" t="0"/>
                  <a:stretch>
                    <a:fillRect/>
                  </a:stretch>
                </pic:blipFill>
                <pic:spPr>
                  <a:xfrm>
                    <a:off x="0" y="0"/>
                    <a:ext cx="5076190" cy="110426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AB2814"/>
    <w:pPr>
      <w:autoSpaceDE w:val="0"/>
      <w:autoSpaceDN w:val="0"/>
      <w:adjustRightInd w:val="0"/>
      <w:spacing w:after="0" w:line="240" w:lineRule="auto"/>
    </w:pPr>
    <w:rPr>
      <w:rFonts w:ascii="Arial" w:cs="Arial" w:hAnsi="Arial"/>
      <w:color w:val="000000"/>
      <w:sz w:val="24"/>
      <w:szCs w:val="24"/>
    </w:rPr>
  </w:style>
  <w:style w:type="character" w:styleId="Hipervnculo">
    <w:name w:val="Hyperlink"/>
    <w:basedOn w:val="Fuentedeprrafopredeter"/>
    <w:uiPriority w:val="99"/>
    <w:unhideWhenUsed w:val="1"/>
    <w:rsid w:val="00AB2814"/>
    <w:rPr>
      <w:color w:val="0563c1" w:themeColor="hyperlink"/>
      <w:u w:val="single"/>
    </w:rPr>
  </w:style>
  <w:style w:type="paragraph" w:styleId="Encabezado">
    <w:name w:val="header"/>
    <w:basedOn w:val="Normal"/>
    <w:link w:val="EncabezadoCar"/>
    <w:uiPriority w:val="99"/>
    <w:unhideWhenUsed w:val="1"/>
    <w:rsid w:val="008107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10762"/>
  </w:style>
  <w:style w:type="paragraph" w:styleId="Piedepgina">
    <w:name w:val="footer"/>
    <w:basedOn w:val="Normal"/>
    <w:link w:val="PiedepginaCar"/>
    <w:uiPriority w:val="99"/>
    <w:unhideWhenUsed w:val="1"/>
    <w:rsid w:val="008107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10762"/>
  </w:style>
  <w:style w:type="paragraph" w:styleId="Sinespaciado">
    <w:name w:val="No Spacing"/>
    <w:uiPriority w:val="1"/>
    <w:qFormat w:val="1"/>
    <w:rsid w:val="00310B35"/>
    <w:pPr>
      <w:spacing w:after="0" w:line="240" w:lineRule="auto"/>
    </w:pPr>
  </w:style>
  <w:style w:type="table" w:styleId="Tablanormal11" w:customStyle="1">
    <w:name w:val="Tabla normal 11"/>
    <w:basedOn w:val="Tablanormal"/>
    <w:next w:val="Tablanormal1"/>
    <w:uiPriority w:val="41"/>
    <w:rsid w:val="0022034A"/>
    <w:pPr>
      <w:spacing w:after="0" w:line="240" w:lineRule="auto"/>
    </w:pPr>
    <w:rPr>
      <w:kern w:val="2"/>
      <w:lang w:val="es-CO"/>
    </w:r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character" w:styleId="Refdecomentario">
    <w:name w:val="annotation reference"/>
    <w:basedOn w:val="Fuentedeprrafopredeter"/>
    <w:uiPriority w:val="99"/>
    <w:semiHidden w:val="1"/>
    <w:unhideWhenUsed w:val="1"/>
    <w:rsid w:val="0022034A"/>
    <w:rPr>
      <w:sz w:val="16"/>
      <w:szCs w:val="16"/>
    </w:rPr>
  </w:style>
  <w:style w:type="paragraph" w:styleId="Textocomentario1" w:customStyle="1">
    <w:name w:val="Texto comentario1"/>
    <w:basedOn w:val="Normal"/>
    <w:next w:val="Textocomentario"/>
    <w:link w:val="TextocomentarioCar"/>
    <w:uiPriority w:val="99"/>
    <w:unhideWhenUsed w:val="1"/>
    <w:rsid w:val="0022034A"/>
    <w:pPr>
      <w:spacing w:after="0" w:line="240" w:lineRule="auto"/>
      <w:ind w:firstLine="284"/>
    </w:pPr>
    <w:rPr>
      <w:rFonts w:ascii="Times New Roman" w:hAnsi="Times New Roman"/>
      <w:sz w:val="20"/>
      <w:szCs w:val="20"/>
    </w:rPr>
  </w:style>
  <w:style w:type="character" w:styleId="TextocomentarioCar" w:customStyle="1">
    <w:name w:val="Texto comentario Car"/>
    <w:basedOn w:val="Fuentedeprrafopredeter"/>
    <w:link w:val="Textocomentario1"/>
    <w:uiPriority w:val="99"/>
    <w:rsid w:val="0022034A"/>
    <w:rPr>
      <w:rFonts w:ascii="Times New Roman" w:hAnsi="Times New Roman"/>
      <w:sz w:val="20"/>
      <w:szCs w:val="20"/>
    </w:rPr>
  </w:style>
  <w:style w:type="table" w:styleId="Tablanormal1">
    <w:name w:val="Plain Table 1"/>
    <w:basedOn w:val="Tablanormal"/>
    <w:uiPriority w:val="41"/>
    <w:rsid w:val="0022034A"/>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Textocomentario">
    <w:name w:val="annotation text"/>
    <w:basedOn w:val="Normal"/>
    <w:link w:val="TextocomentarioCar1"/>
    <w:uiPriority w:val="99"/>
    <w:unhideWhenUsed w:val="1"/>
    <w:rsid w:val="0022034A"/>
    <w:pPr>
      <w:spacing w:line="240" w:lineRule="auto"/>
    </w:pPr>
    <w:rPr>
      <w:sz w:val="20"/>
      <w:szCs w:val="20"/>
    </w:rPr>
  </w:style>
  <w:style w:type="character" w:styleId="TextocomentarioCar1" w:customStyle="1">
    <w:name w:val="Texto comentario Car1"/>
    <w:basedOn w:val="Fuentedeprrafopredeter"/>
    <w:link w:val="Textocomentario"/>
    <w:uiPriority w:val="99"/>
    <w:rsid w:val="0022034A"/>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94213"/>
    <w:rPr>
      <w:b w:val="1"/>
      <w:bCs w:val="1"/>
    </w:rPr>
  </w:style>
  <w:style w:type="character" w:styleId="AsuntodelcomentarioCar" w:customStyle="1">
    <w:name w:val="Asunto del comentario Car"/>
    <w:basedOn w:val="TextocomentarioCar1"/>
    <w:link w:val="Asuntodelcomentario"/>
    <w:uiPriority w:val="99"/>
    <w:semiHidden w:val="1"/>
    <w:rsid w:val="00694213"/>
    <w:rPr>
      <w:b w:val="1"/>
      <w:bCs w:val="1"/>
      <w:sz w:val="20"/>
      <w:szCs w:val="20"/>
    </w:rPr>
  </w:style>
  <w:style w:type="character" w:styleId="cf01" w:customStyle="1">
    <w:name w:val="cf01"/>
    <w:basedOn w:val="Fuentedeprrafopredeter"/>
    <w:rsid w:val="00385B41"/>
    <w:rPr>
      <w:rFonts w:ascii="Segoe UI" w:cs="Segoe UI" w:hAnsi="Segoe UI" w:hint="default"/>
      <w:sz w:val="18"/>
      <w:szCs w:val="18"/>
    </w:rPr>
  </w:style>
  <w:style w:type="paragraph" w:styleId="Prrafodelista">
    <w:name w:val="List Paragraph"/>
    <w:basedOn w:val="Normal"/>
    <w:uiPriority w:val="34"/>
    <w:qFormat w:val="1"/>
    <w:rsid w:val="00AD1C49"/>
    <w:pPr>
      <w:ind w:left="720"/>
      <w:contextualSpacing w:val="1"/>
    </w:pPr>
  </w:style>
  <w:style w:type="table" w:styleId="Tablaconcuadrcula">
    <w:name w:val="Table Grid"/>
    <w:basedOn w:val="Tablanormal"/>
    <w:uiPriority w:val="39"/>
    <w:rsid w:val="00CA4A5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2">
    <w:name w:val="Plain Table 2"/>
    <w:basedOn w:val="Tablanormal"/>
    <w:uiPriority w:val="42"/>
    <w:rsid w:val="00E66A9F"/>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Descripcin">
    <w:name w:val="caption"/>
    <w:basedOn w:val="Normal"/>
    <w:next w:val="Normal"/>
    <w:uiPriority w:val="35"/>
    <w:unhideWhenUsed w:val="1"/>
    <w:qFormat w:val="1"/>
    <w:rsid w:val="005E04C1"/>
    <w:pPr>
      <w:spacing w:after="200" w:line="240" w:lineRule="auto"/>
    </w:pPr>
    <w:rPr>
      <w:i w:val="1"/>
      <w:iCs w:val="1"/>
      <w:color w:val="44546a" w:themeColor="text2"/>
      <w:sz w:val="18"/>
      <w:szCs w:val="18"/>
    </w:rPr>
  </w:style>
  <w:style w:type="table" w:styleId="2" w:customStyle="1">
    <w:name w:val="2"/>
    <w:basedOn w:val="Tablanormal"/>
    <w:rsid w:val="00773FF9"/>
    <w:pPr>
      <w:spacing w:after="0" w:line="240" w:lineRule="auto"/>
    </w:pPr>
    <w:rPr>
      <w:rFonts w:ascii="Calibri" w:cs="Calibri" w:eastAsia="Calibri" w:hAnsi="Calibri"/>
      <w:lang w:eastAsia="es-CO"/>
    </w:rPr>
    <w:tblPr>
      <w:tblStyleRowBandSize w:val="1"/>
      <w:tblStyleColBandSize w:val="1"/>
      <w:tblInd w:w="0.0" w:type="nil"/>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DzRr8Rmihh3cTj/mV1cIY7SRwg==">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2024-08-05T20:31:00Z</dcterms:created>
  <dc:creator>juan emilio tobon guzman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c9e3987e-f099-41c2-ae19-c4c4441b0ce7</vt:lpwstr>
  </property>
</Properties>
</file>